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A64D7" w14:textId="77777777" w:rsidR="005045D8" w:rsidRPr="00430DA8" w:rsidRDefault="005045D8" w:rsidP="005045D8">
      <w:pPr>
        <w:jc w:val="center"/>
        <w:rPr>
          <w:rFonts w:ascii="Arial" w:hAnsi="Arial" w:cs="Arial"/>
          <w:b/>
          <w:sz w:val="22"/>
          <w:szCs w:val="22"/>
        </w:rPr>
      </w:pPr>
      <w:bookmarkStart w:id="0" w:name="_Hlk88558355"/>
      <w:bookmarkStart w:id="1" w:name="_Hlk88558447"/>
      <w:r w:rsidRPr="00430DA8">
        <w:rPr>
          <w:rFonts w:ascii="Arial" w:hAnsi="Arial" w:cs="Arial"/>
          <w:b/>
          <w:sz w:val="22"/>
          <w:szCs w:val="22"/>
        </w:rPr>
        <w:t>ANNUAL PERFORMANCE REPORT</w:t>
      </w:r>
    </w:p>
    <w:p w14:paraId="408B3DEF" w14:textId="77777777" w:rsidR="005045D8" w:rsidRPr="00430DA8" w:rsidRDefault="005045D8" w:rsidP="005045D8">
      <w:pPr>
        <w:jc w:val="center"/>
        <w:rPr>
          <w:rFonts w:ascii="Arial" w:hAnsi="Arial" w:cs="Arial"/>
          <w:b/>
          <w:sz w:val="22"/>
          <w:szCs w:val="22"/>
        </w:rPr>
      </w:pPr>
      <w:r w:rsidRPr="00430DA8">
        <w:rPr>
          <w:rFonts w:ascii="Arial" w:hAnsi="Arial" w:cs="Arial"/>
          <w:b/>
          <w:sz w:val="22"/>
          <w:szCs w:val="22"/>
        </w:rPr>
        <w:t>MEMORANDUM OF UNDERSTANDING</w:t>
      </w:r>
    </w:p>
    <w:p w14:paraId="38D3CBA6" w14:textId="77777777" w:rsidR="005045D8" w:rsidRPr="00430DA8" w:rsidRDefault="005045D8" w:rsidP="005045D8">
      <w:pPr>
        <w:jc w:val="center"/>
        <w:rPr>
          <w:rFonts w:ascii="Arial" w:hAnsi="Arial" w:cs="Arial"/>
          <w:b/>
          <w:sz w:val="22"/>
          <w:szCs w:val="22"/>
        </w:rPr>
      </w:pPr>
      <w:r w:rsidRPr="00430DA8">
        <w:rPr>
          <w:rFonts w:ascii="Arial" w:hAnsi="Arial" w:cs="Arial"/>
          <w:b/>
          <w:sz w:val="22"/>
          <w:szCs w:val="22"/>
        </w:rPr>
        <w:t>DATA CENTER RETAIL SALES &amp; USE TAX EXEMPTION</w:t>
      </w:r>
    </w:p>
    <w:p w14:paraId="30386045" w14:textId="77777777" w:rsidR="005045D8" w:rsidRPr="00430DA8" w:rsidRDefault="005045D8" w:rsidP="005045D8">
      <w:pPr>
        <w:jc w:val="center"/>
        <w:rPr>
          <w:rFonts w:ascii="Arial" w:hAnsi="Arial" w:cs="Arial"/>
          <w:b/>
          <w:sz w:val="22"/>
          <w:szCs w:val="22"/>
        </w:rPr>
      </w:pPr>
      <w:r w:rsidRPr="00430DA8">
        <w:rPr>
          <w:rFonts w:ascii="Arial" w:hAnsi="Arial" w:cs="Arial"/>
          <w:b/>
          <w:sz w:val="22"/>
          <w:szCs w:val="22"/>
        </w:rPr>
        <w:t xml:space="preserve">COLOCATION </w:t>
      </w:r>
    </w:p>
    <w:p w14:paraId="7DD1FD0C" w14:textId="77777777" w:rsidR="005045D8" w:rsidRPr="00430DA8" w:rsidRDefault="005045D8" w:rsidP="005045D8">
      <w:pPr>
        <w:jc w:val="center"/>
        <w:rPr>
          <w:rFonts w:ascii="Arial" w:hAnsi="Arial" w:cs="Arial"/>
          <w:b/>
          <w:sz w:val="22"/>
          <w:szCs w:val="22"/>
        </w:rPr>
      </w:pPr>
    </w:p>
    <w:p w14:paraId="7BE5A839" w14:textId="77777777" w:rsidR="005045D8" w:rsidRPr="00430DA8" w:rsidRDefault="005045D8" w:rsidP="005045D8">
      <w:pPr>
        <w:jc w:val="center"/>
        <w:rPr>
          <w:rFonts w:ascii="Arial" w:hAnsi="Arial" w:cs="Arial"/>
          <w:b/>
          <w:sz w:val="22"/>
          <w:szCs w:val="22"/>
        </w:rPr>
      </w:pPr>
      <w:r w:rsidRPr="00430DA8">
        <w:rPr>
          <w:rFonts w:ascii="Arial" w:hAnsi="Arial" w:cs="Arial"/>
          <w:b/>
          <w:sz w:val="22"/>
          <w:szCs w:val="22"/>
        </w:rPr>
        <w:t>EXHIBIT D</w:t>
      </w:r>
    </w:p>
    <w:p w14:paraId="34737E15" w14:textId="77777777" w:rsidR="005045D8" w:rsidRPr="00430DA8" w:rsidRDefault="005045D8" w:rsidP="005045D8">
      <w:pPr>
        <w:rPr>
          <w:rFonts w:ascii="Arial" w:hAnsi="Arial" w:cs="Arial"/>
          <w:b/>
          <w:sz w:val="22"/>
          <w:szCs w:val="22"/>
        </w:rPr>
      </w:pPr>
      <w:r w:rsidRPr="00430DA8">
        <w:rPr>
          <w:rFonts w:ascii="Arial" w:hAnsi="Arial" w:cs="Arial"/>
          <w:b/>
          <w:sz w:val="22"/>
          <w:szCs w:val="22"/>
        </w:rPr>
        <w:t>PROJECT SUMMARY</w:t>
      </w:r>
    </w:p>
    <w:tbl>
      <w:tblPr>
        <w:tblStyle w:val="TableGrid1"/>
        <w:tblW w:w="9355" w:type="dxa"/>
        <w:tblLook w:val="04A0" w:firstRow="1" w:lastRow="0" w:firstColumn="1" w:lastColumn="0" w:noHBand="0" w:noVBand="1"/>
      </w:tblPr>
      <w:tblGrid>
        <w:gridCol w:w="4225"/>
        <w:gridCol w:w="5130"/>
      </w:tblGrid>
      <w:tr w:rsidR="005045D8" w:rsidRPr="00430DA8" w14:paraId="77372B36" w14:textId="77777777" w:rsidTr="00753C3F">
        <w:trPr>
          <w:trHeight w:val="360"/>
        </w:trPr>
        <w:tc>
          <w:tcPr>
            <w:tcW w:w="4225" w:type="dxa"/>
            <w:shd w:val="clear" w:color="auto" w:fill="1F3864" w:themeFill="accent1" w:themeFillShade="80"/>
            <w:vAlign w:val="center"/>
          </w:tcPr>
          <w:p w14:paraId="56155A8B" w14:textId="77777777" w:rsidR="005045D8" w:rsidRPr="00430DA8" w:rsidRDefault="005045D8"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Project</w:t>
            </w:r>
          </w:p>
        </w:tc>
        <w:tc>
          <w:tcPr>
            <w:tcW w:w="5130" w:type="dxa"/>
            <w:vAlign w:val="center"/>
          </w:tcPr>
          <w:p w14:paraId="0C3F65F5" w14:textId="77777777" w:rsidR="005045D8" w:rsidRPr="00430DA8" w:rsidRDefault="005045D8" w:rsidP="00137BCE">
            <w:pPr>
              <w:rPr>
                <w:rFonts w:ascii="Arial" w:hAnsi="Arial" w:cs="Arial"/>
                <w:sz w:val="22"/>
                <w:szCs w:val="22"/>
              </w:rPr>
            </w:pPr>
          </w:p>
        </w:tc>
      </w:tr>
      <w:tr w:rsidR="005045D8" w:rsidRPr="00430DA8" w14:paraId="56B3A795" w14:textId="77777777" w:rsidTr="00753C3F">
        <w:trPr>
          <w:trHeight w:val="360"/>
        </w:trPr>
        <w:tc>
          <w:tcPr>
            <w:tcW w:w="4225" w:type="dxa"/>
            <w:shd w:val="clear" w:color="auto" w:fill="1F3864" w:themeFill="accent1" w:themeFillShade="80"/>
            <w:vAlign w:val="center"/>
          </w:tcPr>
          <w:p w14:paraId="1A81B433" w14:textId="77777777" w:rsidR="005045D8" w:rsidRPr="00430DA8" w:rsidRDefault="005045D8"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Locality (City or County)</w:t>
            </w:r>
          </w:p>
        </w:tc>
        <w:tc>
          <w:tcPr>
            <w:tcW w:w="5130" w:type="dxa"/>
            <w:vAlign w:val="center"/>
          </w:tcPr>
          <w:p w14:paraId="7CEACC7C" w14:textId="77777777" w:rsidR="005045D8" w:rsidRPr="00430DA8" w:rsidRDefault="005045D8" w:rsidP="00137BCE">
            <w:pPr>
              <w:rPr>
                <w:rFonts w:ascii="Arial" w:hAnsi="Arial" w:cs="Arial"/>
                <w:sz w:val="22"/>
                <w:szCs w:val="22"/>
              </w:rPr>
            </w:pPr>
          </w:p>
        </w:tc>
      </w:tr>
      <w:tr w:rsidR="005045D8" w:rsidRPr="00430DA8" w14:paraId="35021B7A" w14:textId="77777777" w:rsidTr="00753C3F">
        <w:trPr>
          <w:trHeight w:val="360"/>
        </w:trPr>
        <w:tc>
          <w:tcPr>
            <w:tcW w:w="4225" w:type="dxa"/>
            <w:shd w:val="clear" w:color="auto" w:fill="1F3864" w:themeFill="accent1" w:themeFillShade="80"/>
            <w:vAlign w:val="center"/>
          </w:tcPr>
          <w:p w14:paraId="4530E6C1" w14:textId="77777777" w:rsidR="005045D8" w:rsidRPr="00430DA8" w:rsidRDefault="005045D8"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Performance Reporting Period</w:t>
            </w:r>
          </w:p>
        </w:tc>
        <w:tc>
          <w:tcPr>
            <w:tcW w:w="5130" w:type="dxa"/>
            <w:vAlign w:val="center"/>
          </w:tcPr>
          <w:p w14:paraId="00115BF9" w14:textId="77777777" w:rsidR="005045D8" w:rsidRPr="00430DA8" w:rsidRDefault="005045D8" w:rsidP="00137BCE">
            <w:pPr>
              <w:rPr>
                <w:rFonts w:ascii="Arial" w:hAnsi="Arial" w:cs="Arial"/>
                <w:sz w:val="22"/>
                <w:szCs w:val="22"/>
              </w:rPr>
            </w:pPr>
            <w:r w:rsidRPr="00430DA8">
              <w:rPr>
                <w:rFonts w:ascii="Arial" w:hAnsi="Arial" w:cs="Arial"/>
                <w:sz w:val="22"/>
                <w:szCs w:val="22"/>
              </w:rPr>
              <w:t>Through June 30, 20__</w:t>
            </w:r>
          </w:p>
        </w:tc>
      </w:tr>
      <w:tr w:rsidR="005045D8" w:rsidRPr="00430DA8" w14:paraId="470631D9" w14:textId="77777777" w:rsidTr="00753C3F">
        <w:trPr>
          <w:trHeight w:val="360"/>
        </w:trPr>
        <w:tc>
          <w:tcPr>
            <w:tcW w:w="4225" w:type="dxa"/>
            <w:shd w:val="clear" w:color="auto" w:fill="1F3864" w:themeFill="accent1" w:themeFillShade="80"/>
            <w:vAlign w:val="center"/>
          </w:tcPr>
          <w:p w14:paraId="2CE4DDC1" w14:textId="77777777" w:rsidR="005045D8" w:rsidRPr="00430DA8" w:rsidRDefault="005045D8"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Performance Date</w:t>
            </w:r>
          </w:p>
        </w:tc>
        <w:tc>
          <w:tcPr>
            <w:tcW w:w="5130" w:type="dxa"/>
            <w:shd w:val="clear" w:color="auto" w:fill="auto"/>
            <w:vAlign w:val="center"/>
          </w:tcPr>
          <w:p w14:paraId="631C12B2" w14:textId="77777777" w:rsidR="005045D8" w:rsidRPr="00430DA8" w:rsidRDefault="005045D8" w:rsidP="00137BCE">
            <w:pPr>
              <w:rPr>
                <w:rFonts w:ascii="Arial" w:hAnsi="Arial" w:cs="Arial"/>
                <w:sz w:val="22"/>
                <w:szCs w:val="22"/>
              </w:rPr>
            </w:pPr>
            <w:r w:rsidRPr="00430DA8">
              <w:rPr>
                <w:rFonts w:ascii="Arial" w:hAnsi="Arial" w:cs="Arial"/>
                <w:sz w:val="22"/>
                <w:szCs w:val="22"/>
              </w:rPr>
              <w:t>June 30, 20__</w:t>
            </w:r>
          </w:p>
        </w:tc>
      </w:tr>
    </w:tbl>
    <w:p w14:paraId="1697BC09" w14:textId="121D3F50" w:rsidR="005045D8" w:rsidRPr="00430DA8" w:rsidRDefault="005045D8">
      <w:pPr>
        <w:rPr>
          <w:rFonts w:ascii="Arial" w:hAnsi="Arial" w:cs="Arial"/>
          <w:sz w:val="22"/>
          <w:szCs w:val="22"/>
        </w:rPr>
      </w:pPr>
    </w:p>
    <w:p w14:paraId="6D5CD631" w14:textId="275CB70F" w:rsidR="005045D8" w:rsidRPr="00430DA8" w:rsidRDefault="005045D8" w:rsidP="005045D8">
      <w:pPr>
        <w:rPr>
          <w:rFonts w:ascii="Arial" w:hAnsi="Arial" w:cs="Arial"/>
          <w:b/>
          <w:sz w:val="22"/>
          <w:szCs w:val="22"/>
        </w:rPr>
      </w:pPr>
      <w:r w:rsidRPr="00430DA8">
        <w:rPr>
          <w:rFonts w:ascii="Arial" w:hAnsi="Arial" w:cs="Arial"/>
          <w:b/>
          <w:sz w:val="22"/>
          <w:szCs w:val="22"/>
        </w:rPr>
        <w:t>PROJECT PERFORMANCE: CAPITAL INVESTMENT</w:t>
      </w:r>
    </w:p>
    <w:tbl>
      <w:tblPr>
        <w:tblStyle w:val="TableGrid1"/>
        <w:tblW w:w="9355" w:type="dxa"/>
        <w:tblLook w:val="04A0" w:firstRow="1" w:lastRow="0" w:firstColumn="1" w:lastColumn="0" w:noHBand="0" w:noVBand="1"/>
      </w:tblPr>
      <w:tblGrid>
        <w:gridCol w:w="4225"/>
        <w:gridCol w:w="1710"/>
        <w:gridCol w:w="1710"/>
        <w:gridCol w:w="1710"/>
      </w:tblGrid>
      <w:tr w:rsidR="005045D8" w:rsidRPr="00430DA8" w14:paraId="00D66BAE" w14:textId="77777777" w:rsidTr="005045D8">
        <w:trPr>
          <w:trHeight w:val="432"/>
        </w:trPr>
        <w:tc>
          <w:tcPr>
            <w:tcW w:w="4225" w:type="dxa"/>
            <w:shd w:val="clear" w:color="auto" w:fill="1F3864" w:themeFill="accent1" w:themeFillShade="80"/>
            <w:vAlign w:val="center"/>
          </w:tcPr>
          <w:p w14:paraId="31295DEF" w14:textId="77777777" w:rsidR="005045D8" w:rsidRPr="00430DA8" w:rsidRDefault="005045D8"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Performance Measurement</w:t>
            </w:r>
          </w:p>
        </w:tc>
        <w:tc>
          <w:tcPr>
            <w:tcW w:w="1710" w:type="dxa"/>
            <w:shd w:val="clear" w:color="auto" w:fill="1F3864" w:themeFill="accent1" w:themeFillShade="80"/>
            <w:vAlign w:val="center"/>
          </w:tcPr>
          <w:p w14:paraId="1B056D99" w14:textId="77777777" w:rsidR="005045D8" w:rsidRPr="00430DA8" w:rsidRDefault="005045D8"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Target</w:t>
            </w:r>
          </w:p>
        </w:tc>
        <w:tc>
          <w:tcPr>
            <w:tcW w:w="1710" w:type="dxa"/>
            <w:shd w:val="clear" w:color="auto" w:fill="1F3864" w:themeFill="accent1" w:themeFillShade="80"/>
            <w:vAlign w:val="center"/>
          </w:tcPr>
          <w:p w14:paraId="3A4A4868" w14:textId="77777777" w:rsidR="005045D8" w:rsidRPr="00430DA8" w:rsidRDefault="005045D8"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As of _______</w:t>
            </w:r>
          </w:p>
        </w:tc>
        <w:tc>
          <w:tcPr>
            <w:tcW w:w="1710" w:type="dxa"/>
            <w:shd w:val="clear" w:color="auto" w:fill="1F3864" w:themeFill="accent1" w:themeFillShade="80"/>
            <w:vAlign w:val="center"/>
          </w:tcPr>
          <w:p w14:paraId="4EC89A5B" w14:textId="77777777" w:rsidR="005045D8" w:rsidRPr="00430DA8" w:rsidRDefault="005045D8"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 Complete</w:t>
            </w:r>
          </w:p>
        </w:tc>
      </w:tr>
      <w:tr w:rsidR="005045D8" w:rsidRPr="00430DA8" w14:paraId="228D943C" w14:textId="77777777" w:rsidTr="00137BCE">
        <w:trPr>
          <w:trHeight w:val="432"/>
        </w:trPr>
        <w:tc>
          <w:tcPr>
            <w:tcW w:w="4225" w:type="dxa"/>
            <w:vAlign w:val="center"/>
          </w:tcPr>
          <w:p w14:paraId="3CEDA4CA" w14:textId="0DBBBB1F" w:rsidR="005045D8" w:rsidRPr="00430DA8" w:rsidRDefault="005045D8" w:rsidP="00137BCE">
            <w:pPr>
              <w:rPr>
                <w:rFonts w:ascii="Arial" w:hAnsi="Arial" w:cs="Arial"/>
                <w:b/>
                <w:sz w:val="22"/>
                <w:szCs w:val="22"/>
              </w:rPr>
            </w:pPr>
            <w:r w:rsidRPr="00430DA8">
              <w:rPr>
                <w:rFonts w:ascii="Arial" w:hAnsi="Arial" w:cs="Arial"/>
                <w:b/>
                <w:sz w:val="22"/>
                <w:szCs w:val="22"/>
              </w:rPr>
              <w:t>Capital Investment</w:t>
            </w:r>
            <w:r w:rsidRPr="00430DA8">
              <w:rPr>
                <w:rFonts w:ascii="Arial" w:hAnsi="Arial" w:cs="Arial"/>
                <w:b/>
                <w:sz w:val="22"/>
                <w:szCs w:val="22"/>
                <w:vertAlign w:val="superscript"/>
              </w:rPr>
              <w:t>1</w:t>
            </w:r>
          </w:p>
        </w:tc>
        <w:tc>
          <w:tcPr>
            <w:tcW w:w="1710" w:type="dxa"/>
            <w:shd w:val="clear" w:color="auto" w:fill="FFFFFF" w:themeFill="background1"/>
            <w:vAlign w:val="center"/>
          </w:tcPr>
          <w:p w14:paraId="03D7A42B" w14:textId="77777777" w:rsidR="005045D8" w:rsidRPr="00430DA8" w:rsidRDefault="005045D8" w:rsidP="00137BCE">
            <w:pPr>
              <w:rPr>
                <w:rFonts w:ascii="Arial" w:hAnsi="Arial" w:cs="Arial"/>
                <w:sz w:val="22"/>
                <w:szCs w:val="22"/>
              </w:rPr>
            </w:pPr>
          </w:p>
        </w:tc>
        <w:tc>
          <w:tcPr>
            <w:tcW w:w="1710" w:type="dxa"/>
            <w:shd w:val="clear" w:color="auto" w:fill="FFFFFF" w:themeFill="background1"/>
            <w:vAlign w:val="center"/>
          </w:tcPr>
          <w:p w14:paraId="02C1A8D7" w14:textId="77777777" w:rsidR="005045D8" w:rsidRPr="00430DA8" w:rsidRDefault="005045D8" w:rsidP="00137BCE">
            <w:pPr>
              <w:rPr>
                <w:rFonts w:ascii="Arial" w:hAnsi="Arial" w:cs="Arial"/>
                <w:sz w:val="22"/>
                <w:szCs w:val="22"/>
              </w:rPr>
            </w:pPr>
          </w:p>
        </w:tc>
        <w:tc>
          <w:tcPr>
            <w:tcW w:w="1710" w:type="dxa"/>
            <w:shd w:val="clear" w:color="auto" w:fill="FFFFFF" w:themeFill="background1"/>
            <w:vAlign w:val="center"/>
          </w:tcPr>
          <w:p w14:paraId="5A7701D1" w14:textId="77777777" w:rsidR="005045D8" w:rsidRPr="00430DA8" w:rsidRDefault="005045D8" w:rsidP="00137BCE">
            <w:pPr>
              <w:jc w:val="right"/>
              <w:rPr>
                <w:rFonts w:ascii="Arial" w:hAnsi="Arial" w:cs="Arial"/>
                <w:sz w:val="22"/>
                <w:szCs w:val="22"/>
              </w:rPr>
            </w:pPr>
            <w:r w:rsidRPr="00430DA8">
              <w:rPr>
                <w:rFonts w:ascii="Arial" w:hAnsi="Arial" w:cs="Arial"/>
                <w:sz w:val="22"/>
                <w:szCs w:val="22"/>
              </w:rPr>
              <w:t>%</w:t>
            </w:r>
          </w:p>
        </w:tc>
      </w:tr>
      <w:tr w:rsidR="005045D8" w:rsidRPr="00430DA8" w14:paraId="3C0BC56D" w14:textId="77777777" w:rsidTr="00137BCE">
        <w:trPr>
          <w:trHeight w:val="432"/>
        </w:trPr>
        <w:tc>
          <w:tcPr>
            <w:tcW w:w="4225" w:type="dxa"/>
            <w:vAlign w:val="center"/>
          </w:tcPr>
          <w:p w14:paraId="2C7C7C18" w14:textId="77777777" w:rsidR="005045D8" w:rsidRPr="00430DA8" w:rsidRDefault="005045D8" w:rsidP="00137BCE">
            <w:pPr>
              <w:rPr>
                <w:rFonts w:ascii="Arial" w:hAnsi="Arial" w:cs="Arial"/>
                <w:b/>
                <w:sz w:val="22"/>
                <w:szCs w:val="22"/>
              </w:rPr>
            </w:pPr>
            <w:r w:rsidRPr="00430DA8">
              <w:rPr>
                <w:rFonts w:ascii="Arial" w:hAnsi="Arial" w:cs="Arial"/>
                <w:sz w:val="22"/>
                <w:szCs w:val="22"/>
              </w:rPr>
              <w:t>Confidence level capital investment target will be reached by Performance Date (check one)</w:t>
            </w:r>
          </w:p>
        </w:tc>
        <w:tc>
          <w:tcPr>
            <w:tcW w:w="1710" w:type="dxa"/>
            <w:shd w:val="clear" w:color="auto" w:fill="FFFFFF" w:themeFill="background1"/>
            <w:vAlign w:val="center"/>
          </w:tcPr>
          <w:p w14:paraId="3EB16455" w14:textId="77777777" w:rsidR="005045D8" w:rsidRPr="00430DA8" w:rsidRDefault="00E72FD8" w:rsidP="00137BCE">
            <w:pPr>
              <w:rPr>
                <w:rFonts w:ascii="Arial" w:hAnsi="Arial" w:cs="Arial"/>
                <w:sz w:val="22"/>
                <w:szCs w:val="22"/>
              </w:rPr>
            </w:pPr>
            <w:sdt>
              <w:sdtPr>
                <w:rPr>
                  <w:rFonts w:ascii="Arial" w:hAnsi="Arial" w:cs="Arial"/>
                  <w:sz w:val="22"/>
                  <w:szCs w:val="22"/>
                </w:rPr>
                <w:id w:val="-1403898975"/>
                <w14:checkbox>
                  <w14:checked w14:val="0"/>
                  <w14:checkedState w14:val="2612" w14:font="MS Gothic"/>
                  <w14:uncheckedState w14:val="2610" w14:font="MS Gothic"/>
                </w14:checkbox>
              </w:sdtPr>
              <w:sdtEndPr/>
              <w:sdtContent>
                <w:r w:rsidR="005045D8" w:rsidRPr="00430DA8">
                  <w:rPr>
                    <w:rFonts w:ascii="Segoe UI Symbol" w:eastAsia="MS Gothic" w:hAnsi="Segoe UI Symbol" w:cs="Segoe UI Symbol"/>
                    <w:sz w:val="22"/>
                    <w:szCs w:val="22"/>
                  </w:rPr>
                  <w:t>☐</w:t>
                </w:r>
              </w:sdtContent>
            </w:sdt>
            <w:r w:rsidR="005045D8" w:rsidRPr="00430DA8">
              <w:rPr>
                <w:rFonts w:ascii="Arial" w:hAnsi="Arial" w:cs="Arial"/>
                <w:sz w:val="22"/>
                <w:szCs w:val="22"/>
              </w:rPr>
              <w:t xml:space="preserve"> High                        </w:t>
            </w:r>
          </w:p>
        </w:tc>
        <w:tc>
          <w:tcPr>
            <w:tcW w:w="1710" w:type="dxa"/>
            <w:shd w:val="clear" w:color="auto" w:fill="FFFFFF" w:themeFill="background1"/>
            <w:vAlign w:val="center"/>
          </w:tcPr>
          <w:p w14:paraId="3662F2E3" w14:textId="77777777" w:rsidR="005045D8" w:rsidRPr="00430DA8" w:rsidRDefault="00E72FD8" w:rsidP="00137BCE">
            <w:pPr>
              <w:rPr>
                <w:rFonts w:ascii="Arial" w:hAnsi="Arial" w:cs="Arial"/>
                <w:sz w:val="22"/>
                <w:szCs w:val="22"/>
              </w:rPr>
            </w:pPr>
            <w:sdt>
              <w:sdtPr>
                <w:rPr>
                  <w:rFonts w:ascii="Arial" w:hAnsi="Arial" w:cs="Arial"/>
                  <w:sz w:val="22"/>
                  <w:szCs w:val="22"/>
                </w:rPr>
                <w:id w:val="1577936188"/>
                <w14:checkbox>
                  <w14:checked w14:val="0"/>
                  <w14:checkedState w14:val="2612" w14:font="MS Gothic"/>
                  <w14:uncheckedState w14:val="2610" w14:font="MS Gothic"/>
                </w14:checkbox>
              </w:sdtPr>
              <w:sdtEndPr/>
              <w:sdtContent>
                <w:r w:rsidR="005045D8" w:rsidRPr="00430DA8">
                  <w:rPr>
                    <w:rFonts w:ascii="Segoe UI Symbol" w:eastAsia="MS Gothic" w:hAnsi="Segoe UI Symbol" w:cs="Segoe UI Symbol"/>
                    <w:sz w:val="22"/>
                    <w:szCs w:val="22"/>
                  </w:rPr>
                  <w:t>☐</w:t>
                </w:r>
              </w:sdtContent>
            </w:sdt>
            <w:r w:rsidR="005045D8" w:rsidRPr="00430DA8">
              <w:rPr>
                <w:rFonts w:ascii="Arial" w:hAnsi="Arial" w:cs="Arial"/>
                <w:sz w:val="22"/>
                <w:szCs w:val="22"/>
              </w:rPr>
              <w:t xml:space="preserve"> Moderate                        </w:t>
            </w:r>
          </w:p>
        </w:tc>
        <w:tc>
          <w:tcPr>
            <w:tcW w:w="1710" w:type="dxa"/>
            <w:shd w:val="clear" w:color="auto" w:fill="FFFFFF" w:themeFill="background1"/>
            <w:vAlign w:val="center"/>
          </w:tcPr>
          <w:p w14:paraId="0D0CB86C" w14:textId="77777777" w:rsidR="005045D8" w:rsidRPr="00430DA8" w:rsidRDefault="00E72FD8" w:rsidP="00137BCE">
            <w:pPr>
              <w:rPr>
                <w:rFonts w:ascii="Arial" w:hAnsi="Arial" w:cs="Arial"/>
                <w:sz w:val="22"/>
                <w:szCs w:val="22"/>
              </w:rPr>
            </w:pPr>
            <w:sdt>
              <w:sdtPr>
                <w:rPr>
                  <w:rFonts w:ascii="Arial" w:hAnsi="Arial" w:cs="Arial"/>
                  <w:sz w:val="22"/>
                  <w:szCs w:val="22"/>
                </w:rPr>
                <w:id w:val="65533419"/>
                <w14:checkbox>
                  <w14:checked w14:val="0"/>
                  <w14:checkedState w14:val="2612" w14:font="MS Gothic"/>
                  <w14:uncheckedState w14:val="2610" w14:font="MS Gothic"/>
                </w14:checkbox>
              </w:sdtPr>
              <w:sdtEndPr/>
              <w:sdtContent>
                <w:r w:rsidR="005045D8" w:rsidRPr="00430DA8">
                  <w:rPr>
                    <w:rFonts w:ascii="Segoe UI Symbol" w:eastAsia="MS Gothic" w:hAnsi="Segoe UI Symbol" w:cs="Segoe UI Symbol"/>
                    <w:sz w:val="22"/>
                    <w:szCs w:val="22"/>
                  </w:rPr>
                  <w:t>☐</w:t>
                </w:r>
              </w:sdtContent>
            </w:sdt>
            <w:r w:rsidR="005045D8" w:rsidRPr="00430DA8">
              <w:rPr>
                <w:rFonts w:ascii="Arial" w:hAnsi="Arial" w:cs="Arial"/>
                <w:sz w:val="22"/>
                <w:szCs w:val="22"/>
              </w:rPr>
              <w:t xml:space="preserve"> Low                        </w:t>
            </w:r>
          </w:p>
        </w:tc>
      </w:tr>
    </w:tbl>
    <w:p w14:paraId="12C57535" w14:textId="2DFBBA46" w:rsidR="005045D8" w:rsidRPr="00430DA8" w:rsidRDefault="005045D8" w:rsidP="005045D8">
      <w:pPr>
        <w:ind w:left="90" w:hanging="90"/>
        <w:jc w:val="both"/>
        <w:rPr>
          <w:rFonts w:ascii="Arial" w:hAnsi="Arial" w:cs="Arial"/>
          <w:sz w:val="16"/>
          <w:szCs w:val="16"/>
        </w:rPr>
      </w:pPr>
      <w:r w:rsidRPr="00430DA8">
        <w:rPr>
          <w:rFonts w:ascii="Arial" w:hAnsi="Arial" w:cs="Arial"/>
          <w:sz w:val="16"/>
          <w:szCs w:val="16"/>
          <w:vertAlign w:val="superscript"/>
        </w:rPr>
        <w:t>1</w:t>
      </w:r>
      <w:r w:rsidRPr="00430DA8">
        <w:rPr>
          <w:rFonts w:ascii="Arial" w:hAnsi="Arial" w:cs="Arial"/>
          <w:sz w:val="16"/>
          <w:szCs w:val="16"/>
        </w:rPr>
        <w:t xml:space="preserve"> Total cumulative capital investment made to the Data Center by the Group for the MOU, as of the Reporting Date. Total should include any investments reported in previous Annual Reports.</w:t>
      </w:r>
    </w:p>
    <w:p w14:paraId="1B754161" w14:textId="77777777" w:rsidR="005045D8" w:rsidRPr="00430DA8" w:rsidRDefault="005045D8" w:rsidP="005045D8">
      <w:pPr>
        <w:ind w:left="90" w:hanging="90"/>
        <w:jc w:val="both"/>
        <w:rPr>
          <w:rFonts w:ascii="Arial" w:hAnsi="Arial" w:cs="Arial"/>
          <w:sz w:val="16"/>
          <w:szCs w:val="16"/>
        </w:rPr>
      </w:pPr>
    </w:p>
    <w:tbl>
      <w:tblPr>
        <w:tblStyle w:val="TableGrid"/>
        <w:tblW w:w="9360" w:type="dxa"/>
        <w:tblInd w:w="-5" w:type="dxa"/>
        <w:tblLook w:val="04A0" w:firstRow="1" w:lastRow="0" w:firstColumn="1" w:lastColumn="0" w:noHBand="0" w:noVBand="1"/>
      </w:tblPr>
      <w:tblGrid>
        <w:gridCol w:w="4230"/>
        <w:gridCol w:w="5130"/>
      </w:tblGrid>
      <w:tr w:rsidR="005045D8" w:rsidRPr="00430DA8" w14:paraId="3466440D" w14:textId="77777777" w:rsidTr="00FC2CB9">
        <w:trPr>
          <w:trHeight w:val="432"/>
        </w:trPr>
        <w:tc>
          <w:tcPr>
            <w:tcW w:w="4230" w:type="dxa"/>
            <w:shd w:val="clear" w:color="auto" w:fill="1F3864" w:themeFill="accent1" w:themeFillShade="80"/>
            <w:vAlign w:val="center"/>
          </w:tcPr>
          <w:p w14:paraId="1DF97B11" w14:textId="12E3FD14" w:rsidR="005045D8" w:rsidRPr="00430DA8" w:rsidRDefault="005045D8" w:rsidP="00137BCE">
            <w:pPr>
              <w:rPr>
                <w:rFonts w:ascii="Arial" w:hAnsi="Arial" w:cs="Arial"/>
                <w:b/>
                <w:color w:val="FFFFFF" w:themeColor="background1"/>
                <w:sz w:val="22"/>
                <w:szCs w:val="22"/>
              </w:rPr>
            </w:pPr>
            <w:bookmarkStart w:id="2" w:name="_Hlk88558539"/>
            <w:bookmarkStart w:id="3" w:name="_Hlk88558373"/>
            <w:bookmarkStart w:id="4" w:name="_Hlk88558505"/>
            <w:bookmarkStart w:id="5" w:name="_Hlk88558221"/>
            <w:r w:rsidRPr="00430DA8">
              <w:rPr>
                <w:rFonts w:ascii="Arial" w:hAnsi="Arial" w:cs="Arial"/>
                <w:b/>
                <w:color w:val="FFFFFF" w:themeColor="background1"/>
                <w:sz w:val="22"/>
                <w:szCs w:val="22"/>
              </w:rPr>
              <w:t>Capital Investment Breakdown</w:t>
            </w:r>
            <w:r w:rsidRPr="00430DA8">
              <w:rPr>
                <w:rFonts w:ascii="Arial" w:hAnsi="Arial" w:cs="Arial"/>
                <w:b/>
                <w:color w:val="FFFFFF" w:themeColor="background1"/>
                <w:sz w:val="22"/>
                <w:szCs w:val="22"/>
                <w:vertAlign w:val="superscript"/>
              </w:rPr>
              <w:t>2</w:t>
            </w:r>
          </w:p>
        </w:tc>
        <w:tc>
          <w:tcPr>
            <w:tcW w:w="5130" w:type="dxa"/>
            <w:shd w:val="clear" w:color="auto" w:fill="1F3864" w:themeFill="accent1" w:themeFillShade="80"/>
            <w:vAlign w:val="center"/>
          </w:tcPr>
          <w:p w14:paraId="06F30728" w14:textId="77777777" w:rsidR="005045D8" w:rsidRPr="00430DA8" w:rsidRDefault="005045D8"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Amount</w:t>
            </w:r>
          </w:p>
        </w:tc>
      </w:tr>
      <w:tr w:rsidR="005045D8" w:rsidRPr="00430DA8" w14:paraId="52816FB3" w14:textId="77777777" w:rsidTr="00FC2CB9">
        <w:trPr>
          <w:trHeight w:val="360"/>
        </w:trPr>
        <w:tc>
          <w:tcPr>
            <w:tcW w:w="4230" w:type="dxa"/>
            <w:vAlign w:val="center"/>
          </w:tcPr>
          <w:p w14:paraId="524D7B3E" w14:textId="77777777" w:rsidR="005045D8" w:rsidRPr="00430DA8" w:rsidRDefault="005045D8" w:rsidP="00137BCE">
            <w:pPr>
              <w:rPr>
                <w:rFonts w:ascii="Arial" w:hAnsi="Arial" w:cs="Arial"/>
                <w:sz w:val="22"/>
                <w:szCs w:val="22"/>
              </w:rPr>
            </w:pPr>
            <w:r w:rsidRPr="00430DA8">
              <w:rPr>
                <w:rFonts w:ascii="Arial" w:hAnsi="Arial" w:cs="Arial"/>
                <w:sz w:val="22"/>
                <w:szCs w:val="22"/>
              </w:rPr>
              <w:t>Land/Building Acquisition</w:t>
            </w:r>
          </w:p>
        </w:tc>
        <w:tc>
          <w:tcPr>
            <w:tcW w:w="5130" w:type="dxa"/>
            <w:vAlign w:val="center"/>
          </w:tcPr>
          <w:p w14:paraId="017DCF2C" w14:textId="77777777" w:rsidR="005045D8" w:rsidRPr="00430DA8" w:rsidRDefault="005045D8" w:rsidP="00137BCE">
            <w:pPr>
              <w:rPr>
                <w:rFonts w:ascii="Arial" w:hAnsi="Arial" w:cs="Arial"/>
                <w:sz w:val="22"/>
                <w:szCs w:val="22"/>
              </w:rPr>
            </w:pPr>
          </w:p>
        </w:tc>
      </w:tr>
      <w:tr w:rsidR="005045D8" w:rsidRPr="00430DA8" w14:paraId="58C0F82C" w14:textId="77777777" w:rsidTr="00FC2CB9">
        <w:trPr>
          <w:trHeight w:val="360"/>
        </w:trPr>
        <w:tc>
          <w:tcPr>
            <w:tcW w:w="4230" w:type="dxa"/>
            <w:vAlign w:val="center"/>
          </w:tcPr>
          <w:p w14:paraId="4AA70004" w14:textId="77777777" w:rsidR="005045D8" w:rsidRPr="00430DA8" w:rsidRDefault="005045D8" w:rsidP="00137BCE">
            <w:pPr>
              <w:rPr>
                <w:rFonts w:ascii="Arial" w:hAnsi="Arial" w:cs="Arial"/>
                <w:sz w:val="22"/>
                <w:szCs w:val="22"/>
              </w:rPr>
            </w:pPr>
            <w:r w:rsidRPr="00430DA8">
              <w:rPr>
                <w:rFonts w:ascii="Arial" w:hAnsi="Arial" w:cs="Arial"/>
                <w:sz w:val="22"/>
                <w:szCs w:val="22"/>
              </w:rPr>
              <w:t>Site Improvements</w:t>
            </w:r>
          </w:p>
        </w:tc>
        <w:tc>
          <w:tcPr>
            <w:tcW w:w="5130" w:type="dxa"/>
            <w:vAlign w:val="center"/>
          </w:tcPr>
          <w:p w14:paraId="03B88488" w14:textId="77777777" w:rsidR="005045D8" w:rsidRPr="00430DA8" w:rsidRDefault="005045D8" w:rsidP="00137BCE">
            <w:pPr>
              <w:rPr>
                <w:rFonts w:ascii="Arial" w:hAnsi="Arial" w:cs="Arial"/>
                <w:sz w:val="22"/>
                <w:szCs w:val="22"/>
              </w:rPr>
            </w:pPr>
          </w:p>
        </w:tc>
      </w:tr>
      <w:tr w:rsidR="005045D8" w:rsidRPr="00430DA8" w14:paraId="6BAF1AF2" w14:textId="77777777" w:rsidTr="00FC2CB9">
        <w:trPr>
          <w:trHeight w:val="360"/>
        </w:trPr>
        <w:tc>
          <w:tcPr>
            <w:tcW w:w="4230" w:type="dxa"/>
            <w:vAlign w:val="center"/>
          </w:tcPr>
          <w:p w14:paraId="7DFD949C" w14:textId="77777777" w:rsidR="005045D8" w:rsidRPr="00430DA8" w:rsidRDefault="005045D8" w:rsidP="00137BCE">
            <w:pPr>
              <w:rPr>
                <w:rFonts w:ascii="Arial" w:hAnsi="Arial" w:cs="Arial"/>
                <w:sz w:val="22"/>
                <w:szCs w:val="22"/>
              </w:rPr>
            </w:pPr>
            <w:r w:rsidRPr="00430DA8">
              <w:rPr>
                <w:rFonts w:ascii="Arial" w:hAnsi="Arial" w:cs="Arial"/>
                <w:sz w:val="22"/>
                <w:szCs w:val="22"/>
              </w:rPr>
              <w:t>Real Property/Building Improvements</w:t>
            </w:r>
          </w:p>
        </w:tc>
        <w:tc>
          <w:tcPr>
            <w:tcW w:w="5130" w:type="dxa"/>
            <w:vAlign w:val="center"/>
          </w:tcPr>
          <w:p w14:paraId="043B22B5" w14:textId="77777777" w:rsidR="005045D8" w:rsidRPr="00430DA8" w:rsidRDefault="005045D8" w:rsidP="00137BCE">
            <w:pPr>
              <w:rPr>
                <w:rFonts w:ascii="Arial" w:hAnsi="Arial" w:cs="Arial"/>
                <w:sz w:val="22"/>
                <w:szCs w:val="22"/>
              </w:rPr>
            </w:pPr>
          </w:p>
        </w:tc>
      </w:tr>
      <w:tr w:rsidR="005045D8" w:rsidRPr="00430DA8" w14:paraId="32D98405" w14:textId="77777777" w:rsidTr="00FC2CB9">
        <w:trPr>
          <w:trHeight w:val="360"/>
        </w:trPr>
        <w:tc>
          <w:tcPr>
            <w:tcW w:w="4230" w:type="dxa"/>
            <w:vAlign w:val="center"/>
          </w:tcPr>
          <w:p w14:paraId="37A9A1A9" w14:textId="77777777" w:rsidR="005045D8" w:rsidRPr="00430DA8" w:rsidRDefault="005045D8" w:rsidP="00137BCE">
            <w:pPr>
              <w:rPr>
                <w:rFonts w:ascii="Arial" w:hAnsi="Arial" w:cs="Arial"/>
                <w:sz w:val="22"/>
                <w:szCs w:val="22"/>
              </w:rPr>
            </w:pPr>
            <w:r w:rsidRPr="00430DA8">
              <w:rPr>
                <w:rFonts w:ascii="Arial" w:hAnsi="Arial" w:cs="Arial"/>
                <w:sz w:val="22"/>
                <w:szCs w:val="22"/>
              </w:rPr>
              <w:t>Taxable Tangible Property</w:t>
            </w:r>
          </w:p>
        </w:tc>
        <w:tc>
          <w:tcPr>
            <w:tcW w:w="5130" w:type="dxa"/>
            <w:vAlign w:val="center"/>
          </w:tcPr>
          <w:p w14:paraId="01ABB208" w14:textId="77777777" w:rsidR="005045D8" w:rsidRPr="00430DA8" w:rsidRDefault="005045D8" w:rsidP="00137BCE">
            <w:pPr>
              <w:rPr>
                <w:rFonts w:ascii="Arial" w:hAnsi="Arial" w:cs="Arial"/>
                <w:sz w:val="22"/>
                <w:szCs w:val="22"/>
              </w:rPr>
            </w:pPr>
          </w:p>
        </w:tc>
      </w:tr>
      <w:tr w:rsidR="005045D8" w:rsidRPr="00430DA8" w14:paraId="4942645B" w14:textId="77777777" w:rsidTr="00FC2CB9">
        <w:trPr>
          <w:trHeight w:val="360"/>
        </w:trPr>
        <w:tc>
          <w:tcPr>
            <w:tcW w:w="4230" w:type="dxa"/>
            <w:vAlign w:val="center"/>
          </w:tcPr>
          <w:p w14:paraId="5DAA869D" w14:textId="312A1622" w:rsidR="005045D8" w:rsidRPr="00430DA8" w:rsidRDefault="005045D8" w:rsidP="00137BCE">
            <w:pPr>
              <w:rPr>
                <w:rFonts w:ascii="Arial" w:hAnsi="Arial" w:cs="Arial"/>
                <w:sz w:val="22"/>
                <w:szCs w:val="22"/>
              </w:rPr>
            </w:pPr>
            <w:r w:rsidRPr="00430DA8">
              <w:rPr>
                <w:rFonts w:ascii="Arial" w:hAnsi="Arial" w:cs="Arial"/>
                <w:sz w:val="22"/>
                <w:szCs w:val="22"/>
              </w:rPr>
              <w:t>Exempt Equipment or Software</w:t>
            </w:r>
            <w:r w:rsidRPr="00430DA8">
              <w:rPr>
                <w:rFonts w:ascii="Arial" w:hAnsi="Arial" w:cs="Arial"/>
                <w:sz w:val="22"/>
                <w:szCs w:val="22"/>
                <w:vertAlign w:val="superscript"/>
              </w:rPr>
              <w:t>3</w:t>
            </w:r>
          </w:p>
        </w:tc>
        <w:tc>
          <w:tcPr>
            <w:tcW w:w="5130" w:type="dxa"/>
            <w:vAlign w:val="center"/>
          </w:tcPr>
          <w:p w14:paraId="71FB1ADC" w14:textId="77777777" w:rsidR="005045D8" w:rsidRPr="00430DA8" w:rsidRDefault="005045D8" w:rsidP="00137BCE">
            <w:pPr>
              <w:rPr>
                <w:rFonts w:ascii="Arial" w:hAnsi="Arial" w:cs="Arial"/>
                <w:sz w:val="22"/>
                <w:szCs w:val="22"/>
              </w:rPr>
            </w:pPr>
          </w:p>
        </w:tc>
      </w:tr>
      <w:tr w:rsidR="005045D8" w:rsidRPr="00430DA8" w14:paraId="7E5B0264" w14:textId="77777777" w:rsidTr="00FC2CB9">
        <w:trPr>
          <w:trHeight w:val="360"/>
        </w:trPr>
        <w:tc>
          <w:tcPr>
            <w:tcW w:w="4230" w:type="dxa"/>
            <w:vAlign w:val="center"/>
          </w:tcPr>
          <w:p w14:paraId="1310C968" w14:textId="77777777" w:rsidR="005045D8" w:rsidRPr="00430DA8" w:rsidRDefault="005045D8" w:rsidP="00137BCE">
            <w:pPr>
              <w:rPr>
                <w:rFonts w:ascii="Arial" w:hAnsi="Arial" w:cs="Arial"/>
                <w:sz w:val="22"/>
                <w:szCs w:val="22"/>
              </w:rPr>
            </w:pPr>
            <w:r w:rsidRPr="00430DA8">
              <w:rPr>
                <w:rFonts w:ascii="Arial" w:hAnsi="Arial" w:cs="Arial"/>
                <w:sz w:val="22"/>
                <w:szCs w:val="22"/>
              </w:rPr>
              <w:t>Other</w:t>
            </w:r>
          </w:p>
        </w:tc>
        <w:tc>
          <w:tcPr>
            <w:tcW w:w="5130" w:type="dxa"/>
            <w:vAlign w:val="center"/>
          </w:tcPr>
          <w:p w14:paraId="060B662A" w14:textId="77777777" w:rsidR="005045D8" w:rsidRPr="00430DA8" w:rsidRDefault="005045D8" w:rsidP="00137BCE">
            <w:pPr>
              <w:rPr>
                <w:rFonts w:ascii="Arial" w:hAnsi="Arial" w:cs="Arial"/>
                <w:sz w:val="22"/>
                <w:szCs w:val="22"/>
              </w:rPr>
            </w:pPr>
          </w:p>
        </w:tc>
      </w:tr>
      <w:tr w:rsidR="005045D8" w:rsidRPr="00430DA8" w14:paraId="77B81F4A" w14:textId="77777777" w:rsidTr="00FC2CB9">
        <w:trPr>
          <w:trHeight w:val="360"/>
        </w:trPr>
        <w:tc>
          <w:tcPr>
            <w:tcW w:w="4230" w:type="dxa"/>
            <w:shd w:val="clear" w:color="auto" w:fill="1F3864" w:themeFill="accent1" w:themeFillShade="80"/>
            <w:vAlign w:val="center"/>
          </w:tcPr>
          <w:p w14:paraId="0477ABD2" w14:textId="77777777" w:rsidR="005045D8" w:rsidRPr="00430DA8" w:rsidRDefault="005045D8" w:rsidP="00137BCE">
            <w:pPr>
              <w:rPr>
                <w:rFonts w:ascii="Arial" w:hAnsi="Arial" w:cs="Arial"/>
                <w:b/>
                <w:sz w:val="22"/>
                <w:szCs w:val="22"/>
              </w:rPr>
            </w:pPr>
            <w:r w:rsidRPr="00430DA8">
              <w:rPr>
                <w:rFonts w:ascii="Arial" w:hAnsi="Arial" w:cs="Arial"/>
                <w:b/>
                <w:color w:val="FFFFFF" w:themeColor="background1"/>
                <w:sz w:val="22"/>
                <w:szCs w:val="22"/>
              </w:rPr>
              <w:t>Total Capital Investment for Period</w:t>
            </w:r>
          </w:p>
        </w:tc>
        <w:tc>
          <w:tcPr>
            <w:tcW w:w="5130" w:type="dxa"/>
            <w:vAlign w:val="center"/>
          </w:tcPr>
          <w:p w14:paraId="7E074391" w14:textId="77777777" w:rsidR="005045D8" w:rsidRPr="00430DA8" w:rsidRDefault="005045D8" w:rsidP="00137BCE">
            <w:pPr>
              <w:rPr>
                <w:rFonts w:ascii="Arial" w:hAnsi="Arial" w:cs="Arial"/>
                <w:b/>
                <w:sz w:val="22"/>
                <w:szCs w:val="22"/>
              </w:rPr>
            </w:pPr>
            <w:r w:rsidRPr="00430DA8">
              <w:rPr>
                <w:rFonts w:ascii="Arial" w:hAnsi="Arial" w:cs="Arial"/>
                <w:b/>
                <w:sz w:val="22"/>
                <w:szCs w:val="22"/>
              </w:rPr>
              <w:t xml:space="preserve">$                        </w:t>
            </w:r>
          </w:p>
        </w:tc>
      </w:tr>
    </w:tbl>
    <w:bookmarkEnd w:id="2"/>
    <w:p w14:paraId="4F7C7DE6" w14:textId="2D25E17A" w:rsidR="005045D8" w:rsidRPr="00430DA8" w:rsidRDefault="005045D8" w:rsidP="005045D8">
      <w:pPr>
        <w:ind w:left="90" w:hanging="90"/>
        <w:jc w:val="both"/>
        <w:rPr>
          <w:rFonts w:ascii="Arial" w:hAnsi="Arial" w:cs="Arial"/>
          <w:sz w:val="16"/>
          <w:szCs w:val="16"/>
        </w:rPr>
      </w:pPr>
      <w:r w:rsidRPr="00430DA8">
        <w:rPr>
          <w:rFonts w:ascii="Arial" w:hAnsi="Arial" w:cs="Arial"/>
          <w:sz w:val="16"/>
          <w:szCs w:val="16"/>
          <w:vertAlign w:val="superscript"/>
        </w:rPr>
        <w:t>2</w:t>
      </w:r>
      <w:r w:rsidRPr="00430DA8">
        <w:rPr>
          <w:rFonts w:ascii="Arial" w:hAnsi="Arial" w:cs="Arial"/>
          <w:sz w:val="16"/>
          <w:szCs w:val="16"/>
        </w:rPr>
        <w:t xml:space="preserve"> Total cumulative capital investments made in each category by the Group for the MOU, as of the Reporting Date. Totals should include all investments in each category reported in previous Annual Reports. If the Group did not invest in a particular category, please enter $0. </w:t>
      </w:r>
    </w:p>
    <w:p w14:paraId="75F6B7C5" w14:textId="14FD41DC" w:rsidR="005045D8" w:rsidRPr="00430DA8" w:rsidRDefault="005045D8" w:rsidP="005045D8">
      <w:pPr>
        <w:ind w:left="90" w:hanging="90"/>
        <w:jc w:val="both"/>
        <w:rPr>
          <w:rFonts w:ascii="Arial" w:hAnsi="Arial" w:cs="Arial"/>
          <w:sz w:val="16"/>
          <w:szCs w:val="16"/>
        </w:rPr>
      </w:pPr>
      <w:r w:rsidRPr="00430DA8">
        <w:rPr>
          <w:rFonts w:ascii="Arial" w:hAnsi="Arial" w:cs="Arial"/>
          <w:sz w:val="16"/>
          <w:szCs w:val="16"/>
          <w:vertAlign w:val="superscript"/>
        </w:rPr>
        <w:t>3</w:t>
      </w:r>
      <w:r w:rsidRPr="00430DA8">
        <w:rPr>
          <w:rFonts w:ascii="Arial" w:hAnsi="Arial" w:cs="Arial"/>
          <w:sz w:val="16"/>
          <w:szCs w:val="16"/>
        </w:rPr>
        <w:t xml:space="preserve"> The Commissioner of the Virginia Department of Taxation (TAX) has approved a list of equipment and software that qualifies for the DCRSUTE Exemption. The complete list of the </w:t>
      </w:r>
      <w:r w:rsidR="00CB1A51">
        <w:rPr>
          <w:rFonts w:ascii="Arial" w:hAnsi="Arial" w:cs="Arial"/>
          <w:sz w:val="16"/>
          <w:szCs w:val="16"/>
        </w:rPr>
        <w:t>qualified</w:t>
      </w:r>
      <w:r w:rsidRPr="00430DA8">
        <w:rPr>
          <w:rFonts w:ascii="Arial" w:hAnsi="Arial" w:cs="Arial"/>
          <w:sz w:val="16"/>
          <w:szCs w:val="16"/>
        </w:rPr>
        <w:t xml:space="preserve"> equipment can be found on page 2 of the DCRSUT Exemption Information Packet. </w:t>
      </w:r>
    </w:p>
    <w:bookmarkEnd w:id="3"/>
    <w:p w14:paraId="0740F48F" w14:textId="77777777" w:rsidR="005045D8" w:rsidRPr="00430DA8" w:rsidRDefault="005045D8" w:rsidP="005045D8">
      <w:pPr>
        <w:rPr>
          <w:rFonts w:ascii="Arial" w:hAnsi="Arial" w:cs="Arial"/>
          <w:b/>
          <w:szCs w:val="24"/>
        </w:rPr>
      </w:pPr>
    </w:p>
    <w:tbl>
      <w:tblPr>
        <w:tblStyle w:val="TableGrid"/>
        <w:tblW w:w="9360" w:type="dxa"/>
        <w:tblInd w:w="-5" w:type="dxa"/>
        <w:tblLook w:val="04A0" w:firstRow="1" w:lastRow="0" w:firstColumn="1" w:lastColumn="0" w:noHBand="0" w:noVBand="1"/>
      </w:tblPr>
      <w:tblGrid>
        <w:gridCol w:w="4230"/>
        <w:gridCol w:w="5130"/>
      </w:tblGrid>
      <w:tr w:rsidR="005045D8" w:rsidRPr="00430DA8" w14:paraId="5E893B8F" w14:textId="77777777" w:rsidTr="005045D8">
        <w:trPr>
          <w:trHeight w:val="720"/>
        </w:trPr>
        <w:tc>
          <w:tcPr>
            <w:tcW w:w="4230" w:type="dxa"/>
            <w:shd w:val="clear" w:color="auto" w:fill="1F3864" w:themeFill="accent1" w:themeFillShade="80"/>
            <w:vAlign w:val="center"/>
          </w:tcPr>
          <w:p w14:paraId="4C7C46DF" w14:textId="77777777" w:rsidR="005045D8" w:rsidRPr="00430DA8" w:rsidRDefault="005045D8" w:rsidP="00137BCE">
            <w:pPr>
              <w:rPr>
                <w:rFonts w:ascii="Arial" w:hAnsi="Arial" w:cs="Arial"/>
                <w:b/>
                <w:color w:val="FFFFFF" w:themeColor="background1"/>
                <w:sz w:val="22"/>
                <w:szCs w:val="22"/>
              </w:rPr>
            </w:pPr>
            <w:bookmarkStart w:id="6" w:name="_Hlk88558556"/>
            <w:bookmarkEnd w:id="4"/>
            <w:r w:rsidRPr="00430DA8">
              <w:rPr>
                <w:rFonts w:ascii="Arial" w:hAnsi="Arial" w:cs="Arial"/>
                <w:b/>
                <w:color w:val="FFFFFF" w:themeColor="background1"/>
                <w:sz w:val="22"/>
                <w:szCs w:val="22"/>
              </w:rPr>
              <w:t>Cumulative Tax Benefit Received by Group during Reporting Period</w:t>
            </w:r>
          </w:p>
        </w:tc>
        <w:tc>
          <w:tcPr>
            <w:tcW w:w="5130" w:type="dxa"/>
            <w:vAlign w:val="center"/>
          </w:tcPr>
          <w:p w14:paraId="56B7A6DC" w14:textId="77777777" w:rsidR="005045D8" w:rsidRPr="00430DA8" w:rsidRDefault="005045D8" w:rsidP="00137BCE">
            <w:pPr>
              <w:rPr>
                <w:rFonts w:ascii="Arial" w:hAnsi="Arial" w:cs="Arial"/>
                <w:b/>
                <w:szCs w:val="24"/>
              </w:rPr>
            </w:pPr>
            <w:r w:rsidRPr="00430DA8">
              <w:rPr>
                <w:rFonts w:ascii="Arial" w:hAnsi="Arial" w:cs="Arial"/>
                <w:b/>
                <w:szCs w:val="24"/>
              </w:rPr>
              <w:t>$</w:t>
            </w:r>
          </w:p>
        </w:tc>
      </w:tr>
    </w:tbl>
    <w:p w14:paraId="10CE2BC9" w14:textId="77777777" w:rsidR="005045D8" w:rsidRPr="00430DA8" w:rsidRDefault="005045D8">
      <w:pPr>
        <w:rPr>
          <w:rFonts w:ascii="Arial" w:hAnsi="Arial" w:cs="Arial"/>
          <w:b/>
          <w:szCs w:val="24"/>
        </w:rPr>
      </w:pPr>
    </w:p>
    <w:p w14:paraId="07128AA0" w14:textId="57A7E91A" w:rsidR="005045D8" w:rsidRPr="00430DA8" w:rsidRDefault="005045D8">
      <w:pPr>
        <w:rPr>
          <w:rFonts w:ascii="Arial" w:hAnsi="Arial" w:cs="Arial"/>
          <w:b/>
          <w:szCs w:val="24"/>
        </w:rPr>
      </w:pPr>
      <w:r w:rsidRPr="00430DA8">
        <w:rPr>
          <w:rFonts w:ascii="Arial" w:hAnsi="Arial" w:cs="Arial"/>
          <w:b/>
          <w:szCs w:val="24"/>
        </w:rPr>
        <w:t>PROJECT PERFORMANCE: JOB CREATION</w:t>
      </w:r>
    </w:p>
    <w:tbl>
      <w:tblPr>
        <w:tblStyle w:val="TableGrid1"/>
        <w:tblW w:w="9355" w:type="dxa"/>
        <w:tblLook w:val="04A0" w:firstRow="1" w:lastRow="0" w:firstColumn="1" w:lastColumn="0" w:noHBand="0" w:noVBand="1"/>
      </w:tblPr>
      <w:tblGrid>
        <w:gridCol w:w="4225"/>
        <w:gridCol w:w="1710"/>
        <w:gridCol w:w="1710"/>
        <w:gridCol w:w="1710"/>
      </w:tblGrid>
      <w:tr w:rsidR="005045D8" w:rsidRPr="00430DA8" w14:paraId="7A3AECDB" w14:textId="77777777" w:rsidTr="005045D8">
        <w:trPr>
          <w:trHeight w:val="432"/>
        </w:trPr>
        <w:tc>
          <w:tcPr>
            <w:tcW w:w="4225" w:type="dxa"/>
            <w:shd w:val="clear" w:color="auto" w:fill="1F3864" w:themeFill="accent1" w:themeFillShade="80"/>
            <w:vAlign w:val="center"/>
          </w:tcPr>
          <w:p w14:paraId="125B3C1D" w14:textId="77777777" w:rsidR="005045D8" w:rsidRPr="00430DA8" w:rsidRDefault="005045D8"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Performance Measurement</w:t>
            </w:r>
          </w:p>
        </w:tc>
        <w:tc>
          <w:tcPr>
            <w:tcW w:w="1710" w:type="dxa"/>
            <w:shd w:val="clear" w:color="auto" w:fill="1F3864" w:themeFill="accent1" w:themeFillShade="80"/>
            <w:vAlign w:val="center"/>
          </w:tcPr>
          <w:p w14:paraId="511DD28A" w14:textId="77777777" w:rsidR="005045D8" w:rsidRPr="00430DA8" w:rsidRDefault="005045D8"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Target</w:t>
            </w:r>
          </w:p>
        </w:tc>
        <w:tc>
          <w:tcPr>
            <w:tcW w:w="1710" w:type="dxa"/>
            <w:shd w:val="clear" w:color="auto" w:fill="1F3864" w:themeFill="accent1" w:themeFillShade="80"/>
            <w:vAlign w:val="center"/>
          </w:tcPr>
          <w:p w14:paraId="0022E635" w14:textId="77777777" w:rsidR="005045D8" w:rsidRPr="00430DA8" w:rsidRDefault="005045D8"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As of _______</w:t>
            </w:r>
          </w:p>
        </w:tc>
        <w:tc>
          <w:tcPr>
            <w:tcW w:w="1710" w:type="dxa"/>
            <w:shd w:val="clear" w:color="auto" w:fill="1F3864" w:themeFill="accent1" w:themeFillShade="80"/>
            <w:vAlign w:val="center"/>
          </w:tcPr>
          <w:p w14:paraId="55E62C36" w14:textId="77777777" w:rsidR="005045D8" w:rsidRPr="00430DA8" w:rsidRDefault="005045D8"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 Complete</w:t>
            </w:r>
          </w:p>
        </w:tc>
      </w:tr>
      <w:tr w:rsidR="005045D8" w:rsidRPr="00430DA8" w14:paraId="460A758F" w14:textId="77777777" w:rsidTr="00137BCE">
        <w:trPr>
          <w:trHeight w:val="432"/>
        </w:trPr>
        <w:tc>
          <w:tcPr>
            <w:tcW w:w="4225" w:type="dxa"/>
            <w:vAlign w:val="center"/>
          </w:tcPr>
          <w:p w14:paraId="5B6F53ED" w14:textId="1A33C670" w:rsidR="005045D8" w:rsidRPr="00430DA8" w:rsidRDefault="005045D8" w:rsidP="00137BCE">
            <w:pPr>
              <w:rPr>
                <w:rFonts w:ascii="Arial" w:hAnsi="Arial" w:cs="Arial"/>
                <w:b/>
                <w:sz w:val="22"/>
                <w:szCs w:val="22"/>
              </w:rPr>
            </w:pPr>
            <w:r w:rsidRPr="00430DA8">
              <w:rPr>
                <w:rFonts w:ascii="Arial" w:hAnsi="Arial" w:cs="Arial"/>
                <w:b/>
                <w:sz w:val="22"/>
                <w:szCs w:val="22"/>
              </w:rPr>
              <w:t>Qualifying New Jobs</w:t>
            </w:r>
            <w:r w:rsidRPr="00430DA8">
              <w:rPr>
                <w:rFonts w:ascii="Arial" w:hAnsi="Arial" w:cs="Arial"/>
                <w:b/>
                <w:sz w:val="22"/>
                <w:szCs w:val="22"/>
                <w:vertAlign w:val="superscript"/>
              </w:rPr>
              <w:t>4</w:t>
            </w:r>
            <w:r w:rsidRPr="00430DA8">
              <w:rPr>
                <w:rFonts w:ascii="Arial" w:hAnsi="Arial" w:cs="Arial"/>
                <w:b/>
                <w:sz w:val="22"/>
                <w:szCs w:val="22"/>
              </w:rPr>
              <w:t xml:space="preserve"> </w:t>
            </w:r>
          </w:p>
        </w:tc>
        <w:tc>
          <w:tcPr>
            <w:tcW w:w="1710" w:type="dxa"/>
            <w:shd w:val="clear" w:color="auto" w:fill="FFFFFF" w:themeFill="background1"/>
            <w:vAlign w:val="center"/>
          </w:tcPr>
          <w:p w14:paraId="58F39725" w14:textId="77777777" w:rsidR="005045D8" w:rsidRPr="00430DA8" w:rsidRDefault="005045D8" w:rsidP="00137BCE">
            <w:pPr>
              <w:rPr>
                <w:rFonts w:ascii="Arial" w:hAnsi="Arial" w:cs="Arial"/>
                <w:sz w:val="22"/>
                <w:szCs w:val="22"/>
              </w:rPr>
            </w:pPr>
          </w:p>
        </w:tc>
        <w:tc>
          <w:tcPr>
            <w:tcW w:w="1710" w:type="dxa"/>
            <w:shd w:val="clear" w:color="auto" w:fill="FFFFFF" w:themeFill="background1"/>
            <w:vAlign w:val="center"/>
          </w:tcPr>
          <w:p w14:paraId="13FA3D70" w14:textId="77777777" w:rsidR="005045D8" w:rsidRPr="00430DA8" w:rsidRDefault="005045D8" w:rsidP="00137BCE">
            <w:pPr>
              <w:rPr>
                <w:rFonts w:ascii="Arial" w:hAnsi="Arial" w:cs="Arial"/>
                <w:sz w:val="22"/>
                <w:szCs w:val="22"/>
              </w:rPr>
            </w:pPr>
          </w:p>
        </w:tc>
        <w:tc>
          <w:tcPr>
            <w:tcW w:w="1710" w:type="dxa"/>
            <w:shd w:val="clear" w:color="auto" w:fill="FFFFFF" w:themeFill="background1"/>
            <w:vAlign w:val="center"/>
          </w:tcPr>
          <w:p w14:paraId="0213A0BF" w14:textId="77777777" w:rsidR="005045D8" w:rsidRPr="00430DA8" w:rsidRDefault="005045D8" w:rsidP="00137BCE">
            <w:pPr>
              <w:jc w:val="right"/>
              <w:rPr>
                <w:rFonts w:ascii="Arial" w:hAnsi="Arial" w:cs="Arial"/>
                <w:sz w:val="22"/>
                <w:szCs w:val="22"/>
              </w:rPr>
            </w:pPr>
            <w:r w:rsidRPr="00430DA8">
              <w:rPr>
                <w:rFonts w:ascii="Arial" w:hAnsi="Arial" w:cs="Arial"/>
                <w:sz w:val="22"/>
                <w:szCs w:val="22"/>
              </w:rPr>
              <w:t>%</w:t>
            </w:r>
          </w:p>
        </w:tc>
      </w:tr>
      <w:tr w:rsidR="005045D8" w:rsidRPr="00430DA8" w14:paraId="337E2E7C" w14:textId="77777777" w:rsidTr="00137BCE">
        <w:trPr>
          <w:trHeight w:val="432"/>
        </w:trPr>
        <w:tc>
          <w:tcPr>
            <w:tcW w:w="4225" w:type="dxa"/>
            <w:vAlign w:val="center"/>
          </w:tcPr>
          <w:p w14:paraId="1A4CD54E" w14:textId="77777777" w:rsidR="005045D8" w:rsidRPr="00430DA8" w:rsidRDefault="005045D8" w:rsidP="00137BCE">
            <w:pPr>
              <w:rPr>
                <w:rFonts w:ascii="Arial" w:hAnsi="Arial" w:cs="Arial"/>
                <w:b/>
                <w:sz w:val="22"/>
                <w:szCs w:val="22"/>
              </w:rPr>
            </w:pPr>
            <w:r w:rsidRPr="00430DA8">
              <w:rPr>
                <w:rFonts w:ascii="Arial" w:hAnsi="Arial" w:cs="Arial"/>
                <w:sz w:val="22"/>
                <w:szCs w:val="22"/>
              </w:rPr>
              <w:t>Confidence level job creation target will be reached by Performance Date (check one)</w:t>
            </w:r>
          </w:p>
        </w:tc>
        <w:tc>
          <w:tcPr>
            <w:tcW w:w="1710" w:type="dxa"/>
            <w:shd w:val="clear" w:color="auto" w:fill="FFFFFF" w:themeFill="background1"/>
            <w:vAlign w:val="center"/>
          </w:tcPr>
          <w:p w14:paraId="109FE077" w14:textId="77777777" w:rsidR="005045D8" w:rsidRPr="00430DA8" w:rsidRDefault="00E72FD8" w:rsidP="00137BCE">
            <w:pPr>
              <w:rPr>
                <w:rFonts w:ascii="Arial" w:hAnsi="Arial" w:cs="Arial"/>
                <w:sz w:val="22"/>
                <w:szCs w:val="22"/>
              </w:rPr>
            </w:pPr>
            <w:sdt>
              <w:sdtPr>
                <w:rPr>
                  <w:rFonts w:ascii="Arial" w:hAnsi="Arial" w:cs="Arial"/>
                  <w:sz w:val="22"/>
                  <w:szCs w:val="22"/>
                </w:rPr>
                <w:id w:val="-1150055489"/>
                <w14:checkbox>
                  <w14:checked w14:val="0"/>
                  <w14:checkedState w14:val="2612" w14:font="MS Gothic"/>
                  <w14:uncheckedState w14:val="2610" w14:font="MS Gothic"/>
                </w14:checkbox>
              </w:sdtPr>
              <w:sdtEndPr/>
              <w:sdtContent>
                <w:r w:rsidR="005045D8" w:rsidRPr="00430DA8">
                  <w:rPr>
                    <w:rFonts w:ascii="Segoe UI Symbol" w:eastAsia="MS Gothic" w:hAnsi="Segoe UI Symbol" w:cs="Segoe UI Symbol"/>
                    <w:sz w:val="22"/>
                    <w:szCs w:val="22"/>
                  </w:rPr>
                  <w:t>☐</w:t>
                </w:r>
              </w:sdtContent>
            </w:sdt>
            <w:r w:rsidR="005045D8" w:rsidRPr="00430DA8">
              <w:rPr>
                <w:rFonts w:ascii="Arial" w:hAnsi="Arial" w:cs="Arial"/>
                <w:sz w:val="22"/>
                <w:szCs w:val="22"/>
              </w:rPr>
              <w:t xml:space="preserve"> High                        </w:t>
            </w:r>
          </w:p>
        </w:tc>
        <w:tc>
          <w:tcPr>
            <w:tcW w:w="1710" w:type="dxa"/>
            <w:shd w:val="clear" w:color="auto" w:fill="FFFFFF" w:themeFill="background1"/>
            <w:vAlign w:val="center"/>
          </w:tcPr>
          <w:p w14:paraId="6072E183" w14:textId="74160EAA" w:rsidR="005045D8" w:rsidRPr="00430DA8" w:rsidRDefault="00E72FD8" w:rsidP="00137BCE">
            <w:pPr>
              <w:rPr>
                <w:rFonts w:ascii="Arial" w:hAnsi="Arial" w:cs="Arial"/>
                <w:sz w:val="22"/>
                <w:szCs w:val="22"/>
              </w:rPr>
            </w:pPr>
            <w:sdt>
              <w:sdtPr>
                <w:rPr>
                  <w:rFonts w:ascii="Arial" w:hAnsi="Arial" w:cs="Arial"/>
                  <w:sz w:val="22"/>
                  <w:szCs w:val="22"/>
                </w:rPr>
                <w:id w:val="-1905987424"/>
                <w14:checkbox>
                  <w14:checked w14:val="0"/>
                  <w14:checkedState w14:val="2612" w14:font="MS Gothic"/>
                  <w14:uncheckedState w14:val="2610" w14:font="MS Gothic"/>
                </w14:checkbox>
              </w:sdtPr>
              <w:sdtEndPr/>
              <w:sdtContent>
                <w:r w:rsidR="00D02800">
                  <w:rPr>
                    <w:rFonts w:ascii="MS Gothic" w:eastAsia="MS Gothic" w:hAnsi="MS Gothic" w:cs="Arial" w:hint="eastAsia"/>
                    <w:sz w:val="22"/>
                    <w:szCs w:val="22"/>
                  </w:rPr>
                  <w:t>☐</w:t>
                </w:r>
              </w:sdtContent>
            </w:sdt>
            <w:r w:rsidR="005045D8" w:rsidRPr="00430DA8">
              <w:rPr>
                <w:rFonts w:ascii="Arial" w:hAnsi="Arial" w:cs="Arial"/>
                <w:sz w:val="22"/>
                <w:szCs w:val="22"/>
              </w:rPr>
              <w:t xml:space="preserve"> Moderate                        </w:t>
            </w:r>
          </w:p>
        </w:tc>
        <w:tc>
          <w:tcPr>
            <w:tcW w:w="1710" w:type="dxa"/>
            <w:shd w:val="clear" w:color="auto" w:fill="FFFFFF" w:themeFill="background1"/>
            <w:vAlign w:val="center"/>
          </w:tcPr>
          <w:p w14:paraId="324245D8" w14:textId="77777777" w:rsidR="005045D8" w:rsidRPr="00430DA8" w:rsidRDefault="00E72FD8" w:rsidP="00137BCE">
            <w:pPr>
              <w:rPr>
                <w:rFonts w:ascii="Arial" w:hAnsi="Arial" w:cs="Arial"/>
                <w:sz w:val="22"/>
                <w:szCs w:val="22"/>
              </w:rPr>
            </w:pPr>
            <w:sdt>
              <w:sdtPr>
                <w:rPr>
                  <w:rFonts w:ascii="Arial" w:hAnsi="Arial" w:cs="Arial"/>
                  <w:sz w:val="22"/>
                  <w:szCs w:val="22"/>
                </w:rPr>
                <w:id w:val="-1561631846"/>
                <w14:checkbox>
                  <w14:checked w14:val="0"/>
                  <w14:checkedState w14:val="2612" w14:font="MS Gothic"/>
                  <w14:uncheckedState w14:val="2610" w14:font="MS Gothic"/>
                </w14:checkbox>
              </w:sdtPr>
              <w:sdtEndPr/>
              <w:sdtContent>
                <w:r w:rsidR="005045D8" w:rsidRPr="00430DA8">
                  <w:rPr>
                    <w:rFonts w:ascii="Segoe UI Symbol" w:eastAsia="MS Gothic" w:hAnsi="Segoe UI Symbol" w:cs="Segoe UI Symbol"/>
                    <w:sz w:val="22"/>
                    <w:szCs w:val="22"/>
                  </w:rPr>
                  <w:t>☐</w:t>
                </w:r>
              </w:sdtContent>
            </w:sdt>
            <w:r w:rsidR="005045D8" w:rsidRPr="00430DA8">
              <w:rPr>
                <w:rFonts w:ascii="Arial" w:hAnsi="Arial" w:cs="Arial"/>
                <w:sz w:val="22"/>
                <w:szCs w:val="22"/>
              </w:rPr>
              <w:t xml:space="preserve"> Low                        </w:t>
            </w:r>
          </w:p>
        </w:tc>
      </w:tr>
      <w:bookmarkEnd w:id="5"/>
      <w:bookmarkEnd w:id="0"/>
      <w:tr w:rsidR="005045D8" w:rsidRPr="00430DA8" w14:paraId="6ACC46A2" w14:textId="77777777" w:rsidTr="005045D8">
        <w:trPr>
          <w:trHeight w:val="432"/>
        </w:trPr>
        <w:tc>
          <w:tcPr>
            <w:tcW w:w="4225" w:type="dxa"/>
            <w:vAlign w:val="center"/>
          </w:tcPr>
          <w:p w14:paraId="0ACA1BAC" w14:textId="5BA58B8B" w:rsidR="005045D8" w:rsidRPr="00430DA8" w:rsidRDefault="005045D8" w:rsidP="00137BCE">
            <w:pPr>
              <w:rPr>
                <w:rFonts w:ascii="Arial" w:hAnsi="Arial" w:cs="Arial"/>
                <w:sz w:val="22"/>
                <w:szCs w:val="22"/>
              </w:rPr>
            </w:pPr>
            <w:r w:rsidRPr="00430DA8">
              <w:rPr>
                <w:rFonts w:ascii="Arial" w:hAnsi="Arial" w:cs="Arial"/>
                <w:b/>
                <w:sz w:val="22"/>
                <w:szCs w:val="22"/>
              </w:rPr>
              <w:t>Average Annual Wage for Qualifying New Jobs</w:t>
            </w:r>
            <w:r w:rsidR="00EA174D" w:rsidRPr="00430DA8">
              <w:rPr>
                <w:rFonts w:ascii="Arial" w:hAnsi="Arial" w:cs="Arial"/>
                <w:b/>
                <w:sz w:val="22"/>
                <w:szCs w:val="22"/>
                <w:vertAlign w:val="superscript"/>
              </w:rPr>
              <w:t>5</w:t>
            </w:r>
          </w:p>
        </w:tc>
        <w:tc>
          <w:tcPr>
            <w:tcW w:w="1710" w:type="dxa"/>
            <w:shd w:val="clear" w:color="auto" w:fill="FFFFFF" w:themeFill="background1"/>
            <w:vAlign w:val="center"/>
          </w:tcPr>
          <w:p w14:paraId="06945A0C" w14:textId="77777777" w:rsidR="005045D8" w:rsidRPr="00430DA8" w:rsidRDefault="005045D8" w:rsidP="00137BCE">
            <w:pPr>
              <w:rPr>
                <w:rFonts w:ascii="Arial" w:hAnsi="Arial" w:cs="Arial"/>
                <w:sz w:val="22"/>
                <w:szCs w:val="22"/>
              </w:rPr>
            </w:pPr>
          </w:p>
        </w:tc>
        <w:tc>
          <w:tcPr>
            <w:tcW w:w="1710" w:type="dxa"/>
            <w:shd w:val="clear" w:color="auto" w:fill="FFFFFF" w:themeFill="background1"/>
            <w:vAlign w:val="center"/>
          </w:tcPr>
          <w:p w14:paraId="044F398F" w14:textId="77777777" w:rsidR="005045D8" w:rsidRPr="00430DA8" w:rsidRDefault="005045D8" w:rsidP="00137BCE">
            <w:pPr>
              <w:rPr>
                <w:rFonts w:ascii="Arial" w:hAnsi="Arial" w:cs="Arial"/>
                <w:sz w:val="22"/>
                <w:szCs w:val="22"/>
              </w:rPr>
            </w:pPr>
          </w:p>
        </w:tc>
        <w:tc>
          <w:tcPr>
            <w:tcW w:w="1710" w:type="dxa"/>
            <w:shd w:val="clear" w:color="auto" w:fill="1F3864" w:themeFill="accent1" w:themeFillShade="80"/>
            <w:vAlign w:val="center"/>
          </w:tcPr>
          <w:p w14:paraId="6E5FC317" w14:textId="77777777" w:rsidR="005045D8" w:rsidRPr="00430DA8" w:rsidRDefault="005045D8" w:rsidP="00137BCE">
            <w:pPr>
              <w:rPr>
                <w:rFonts w:ascii="Arial" w:hAnsi="Arial" w:cs="Arial"/>
                <w:sz w:val="22"/>
                <w:szCs w:val="22"/>
              </w:rPr>
            </w:pPr>
          </w:p>
        </w:tc>
      </w:tr>
      <w:tr w:rsidR="005045D8" w:rsidRPr="00430DA8" w14:paraId="0C6B313F" w14:textId="77777777" w:rsidTr="00137BCE">
        <w:trPr>
          <w:trHeight w:val="432"/>
        </w:trPr>
        <w:tc>
          <w:tcPr>
            <w:tcW w:w="4225" w:type="dxa"/>
            <w:vAlign w:val="center"/>
          </w:tcPr>
          <w:p w14:paraId="39BEA9AA" w14:textId="77777777" w:rsidR="005045D8" w:rsidRPr="00430DA8" w:rsidRDefault="005045D8" w:rsidP="00137BCE">
            <w:pPr>
              <w:rPr>
                <w:rFonts w:ascii="Arial" w:hAnsi="Arial" w:cs="Arial"/>
                <w:sz w:val="22"/>
                <w:szCs w:val="22"/>
              </w:rPr>
            </w:pPr>
            <w:r w:rsidRPr="00430DA8">
              <w:rPr>
                <w:rFonts w:ascii="Arial" w:hAnsi="Arial" w:cs="Arial"/>
                <w:sz w:val="22"/>
                <w:szCs w:val="22"/>
              </w:rPr>
              <w:lastRenderedPageBreak/>
              <w:t>Confidence level annual wage target will be reached by Performance Date (check one)</w:t>
            </w:r>
          </w:p>
        </w:tc>
        <w:tc>
          <w:tcPr>
            <w:tcW w:w="1710" w:type="dxa"/>
            <w:shd w:val="clear" w:color="auto" w:fill="FFFFFF" w:themeFill="background1"/>
            <w:vAlign w:val="center"/>
          </w:tcPr>
          <w:p w14:paraId="627FBF7D" w14:textId="77777777" w:rsidR="005045D8" w:rsidRPr="00430DA8" w:rsidRDefault="00E72FD8" w:rsidP="00137BCE">
            <w:pPr>
              <w:rPr>
                <w:rFonts w:ascii="Arial" w:hAnsi="Arial" w:cs="Arial"/>
                <w:sz w:val="22"/>
                <w:szCs w:val="22"/>
              </w:rPr>
            </w:pPr>
            <w:sdt>
              <w:sdtPr>
                <w:rPr>
                  <w:rFonts w:ascii="Arial" w:hAnsi="Arial" w:cs="Arial"/>
                  <w:sz w:val="22"/>
                  <w:szCs w:val="22"/>
                </w:rPr>
                <w:id w:val="1636762416"/>
                <w14:checkbox>
                  <w14:checked w14:val="0"/>
                  <w14:checkedState w14:val="2612" w14:font="MS Gothic"/>
                  <w14:uncheckedState w14:val="2610" w14:font="MS Gothic"/>
                </w14:checkbox>
              </w:sdtPr>
              <w:sdtEndPr/>
              <w:sdtContent>
                <w:r w:rsidR="005045D8" w:rsidRPr="00430DA8">
                  <w:rPr>
                    <w:rFonts w:ascii="Segoe UI Symbol" w:eastAsia="MS Gothic" w:hAnsi="Segoe UI Symbol" w:cs="Segoe UI Symbol"/>
                    <w:sz w:val="22"/>
                    <w:szCs w:val="22"/>
                  </w:rPr>
                  <w:t>☐</w:t>
                </w:r>
              </w:sdtContent>
            </w:sdt>
            <w:r w:rsidR="005045D8" w:rsidRPr="00430DA8">
              <w:rPr>
                <w:rFonts w:ascii="Arial" w:hAnsi="Arial" w:cs="Arial"/>
                <w:sz w:val="22"/>
                <w:szCs w:val="22"/>
              </w:rPr>
              <w:t xml:space="preserve"> High                        </w:t>
            </w:r>
          </w:p>
        </w:tc>
        <w:tc>
          <w:tcPr>
            <w:tcW w:w="1710" w:type="dxa"/>
            <w:shd w:val="clear" w:color="auto" w:fill="FFFFFF" w:themeFill="background1"/>
            <w:vAlign w:val="center"/>
          </w:tcPr>
          <w:p w14:paraId="59E20B5B" w14:textId="77777777" w:rsidR="005045D8" w:rsidRPr="00430DA8" w:rsidRDefault="00E72FD8" w:rsidP="00137BCE">
            <w:pPr>
              <w:rPr>
                <w:rFonts w:ascii="Arial" w:hAnsi="Arial" w:cs="Arial"/>
                <w:sz w:val="22"/>
                <w:szCs w:val="22"/>
              </w:rPr>
            </w:pPr>
            <w:sdt>
              <w:sdtPr>
                <w:rPr>
                  <w:rFonts w:ascii="Arial" w:hAnsi="Arial" w:cs="Arial"/>
                  <w:sz w:val="22"/>
                  <w:szCs w:val="22"/>
                </w:rPr>
                <w:id w:val="-1888172939"/>
                <w14:checkbox>
                  <w14:checked w14:val="0"/>
                  <w14:checkedState w14:val="2612" w14:font="MS Gothic"/>
                  <w14:uncheckedState w14:val="2610" w14:font="MS Gothic"/>
                </w14:checkbox>
              </w:sdtPr>
              <w:sdtEndPr/>
              <w:sdtContent>
                <w:r w:rsidR="005045D8" w:rsidRPr="00430DA8">
                  <w:rPr>
                    <w:rFonts w:ascii="Segoe UI Symbol" w:eastAsia="MS Gothic" w:hAnsi="Segoe UI Symbol" w:cs="Segoe UI Symbol"/>
                    <w:sz w:val="22"/>
                    <w:szCs w:val="22"/>
                  </w:rPr>
                  <w:t>☐</w:t>
                </w:r>
              </w:sdtContent>
            </w:sdt>
            <w:r w:rsidR="005045D8" w:rsidRPr="00430DA8">
              <w:rPr>
                <w:rFonts w:ascii="Arial" w:hAnsi="Arial" w:cs="Arial"/>
                <w:sz w:val="22"/>
                <w:szCs w:val="22"/>
              </w:rPr>
              <w:t xml:space="preserve"> Moderate                        </w:t>
            </w:r>
          </w:p>
        </w:tc>
        <w:tc>
          <w:tcPr>
            <w:tcW w:w="1710" w:type="dxa"/>
            <w:shd w:val="clear" w:color="auto" w:fill="FFFFFF" w:themeFill="background1"/>
            <w:vAlign w:val="center"/>
          </w:tcPr>
          <w:p w14:paraId="4FDA7FF1" w14:textId="77777777" w:rsidR="005045D8" w:rsidRPr="00430DA8" w:rsidRDefault="00E72FD8" w:rsidP="00137BCE">
            <w:pPr>
              <w:rPr>
                <w:rFonts w:ascii="Arial" w:hAnsi="Arial" w:cs="Arial"/>
                <w:sz w:val="22"/>
                <w:szCs w:val="22"/>
              </w:rPr>
            </w:pPr>
            <w:sdt>
              <w:sdtPr>
                <w:rPr>
                  <w:rFonts w:ascii="Arial" w:hAnsi="Arial" w:cs="Arial"/>
                  <w:sz w:val="22"/>
                  <w:szCs w:val="22"/>
                </w:rPr>
                <w:id w:val="317079468"/>
                <w14:checkbox>
                  <w14:checked w14:val="0"/>
                  <w14:checkedState w14:val="2612" w14:font="MS Gothic"/>
                  <w14:uncheckedState w14:val="2610" w14:font="MS Gothic"/>
                </w14:checkbox>
              </w:sdtPr>
              <w:sdtEndPr/>
              <w:sdtContent>
                <w:r w:rsidR="005045D8" w:rsidRPr="00430DA8">
                  <w:rPr>
                    <w:rFonts w:ascii="Segoe UI Symbol" w:eastAsia="MS Gothic" w:hAnsi="Segoe UI Symbol" w:cs="Segoe UI Symbol"/>
                    <w:sz w:val="22"/>
                    <w:szCs w:val="22"/>
                  </w:rPr>
                  <w:t>☐</w:t>
                </w:r>
              </w:sdtContent>
            </w:sdt>
            <w:r w:rsidR="005045D8" w:rsidRPr="00430DA8">
              <w:rPr>
                <w:rFonts w:ascii="Arial" w:hAnsi="Arial" w:cs="Arial"/>
                <w:sz w:val="22"/>
                <w:szCs w:val="22"/>
              </w:rPr>
              <w:t xml:space="preserve"> Low                        </w:t>
            </w:r>
          </w:p>
        </w:tc>
      </w:tr>
      <w:tr w:rsidR="005045D8" w:rsidRPr="00430DA8" w14:paraId="19B28A0D" w14:textId="77777777" w:rsidTr="005045D8">
        <w:trPr>
          <w:trHeight w:val="432"/>
        </w:trPr>
        <w:tc>
          <w:tcPr>
            <w:tcW w:w="4225" w:type="dxa"/>
            <w:vAlign w:val="center"/>
          </w:tcPr>
          <w:p w14:paraId="074CF88F" w14:textId="77777777" w:rsidR="005045D8" w:rsidRPr="00430DA8" w:rsidRDefault="005045D8" w:rsidP="00137BCE">
            <w:pPr>
              <w:rPr>
                <w:rFonts w:ascii="Arial" w:hAnsi="Arial" w:cs="Arial"/>
                <w:sz w:val="22"/>
                <w:szCs w:val="22"/>
              </w:rPr>
            </w:pPr>
            <w:r w:rsidRPr="00430DA8">
              <w:rPr>
                <w:rFonts w:ascii="Arial" w:hAnsi="Arial" w:cs="Arial"/>
                <w:b/>
                <w:sz w:val="22"/>
                <w:szCs w:val="22"/>
              </w:rPr>
              <w:t xml:space="preserve">Standard Fringe Benefits Offered </w:t>
            </w:r>
          </w:p>
        </w:tc>
        <w:tc>
          <w:tcPr>
            <w:tcW w:w="1710" w:type="dxa"/>
            <w:shd w:val="clear" w:color="auto" w:fill="FFFFFF" w:themeFill="background1"/>
            <w:vAlign w:val="center"/>
          </w:tcPr>
          <w:p w14:paraId="2EE8420B" w14:textId="77777777" w:rsidR="005045D8" w:rsidRPr="00430DA8" w:rsidRDefault="00E72FD8" w:rsidP="00137BCE">
            <w:pPr>
              <w:rPr>
                <w:rFonts w:ascii="Arial" w:hAnsi="Arial" w:cs="Arial"/>
                <w:sz w:val="22"/>
                <w:szCs w:val="22"/>
              </w:rPr>
            </w:pPr>
            <w:sdt>
              <w:sdtPr>
                <w:rPr>
                  <w:rFonts w:ascii="Arial" w:hAnsi="Arial" w:cs="Arial"/>
                  <w:sz w:val="22"/>
                  <w:szCs w:val="22"/>
                </w:rPr>
                <w:id w:val="1064382494"/>
                <w14:checkbox>
                  <w14:checked w14:val="0"/>
                  <w14:checkedState w14:val="2612" w14:font="MS Gothic"/>
                  <w14:uncheckedState w14:val="2610" w14:font="MS Gothic"/>
                </w14:checkbox>
              </w:sdtPr>
              <w:sdtEndPr/>
              <w:sdtContent>
                <w:r w:rsidR="005045D8" w:rsidRPr="00430DA8">
                  <w:rPr>
                    <w:rFonts w:ascii="Segoe UI Symbol" w:eastAsia="MS Gothic" w:hAnsi="Segoe UI Symbol" w:cs="Segoe UI Symbol"/>
                    <w:sz w:val="22"/>
                    <w:szCs w:val="22"/>
                  </w:rPr>
                  <w:t>☐</w:t>
                </w:r>
              </w:sdtContent>
            </w:sdt>
            <w:r w:rsidR="005045D8" w:rsidRPr="00430DA8">
              <w:rPr>
                <w:rFonts w:ascii="Arial" w:hAnsi="Arial" w:cs="Arial"/>
                <w:sz w:val="22"/>
                <w:szCs w:val="22"/>
              </w:rPr>
              <w:t xml:space="preserve"> Yes                        </w:t>
            </w:r>
          </w:p>
        </w:tc>
        <w:tc>
          <w:tcPr>
            <w:tcW w:w="1710" w:type="dxa"/>
            <w:shd w:val="clear" w:color="auto" w:fill="FFFFFF" w:themeFill="background1"/>
            <w:vAlign w:val="center"/>
          </w:tcPr>
          <w:p w14:paraId="1F3A6D66" w14:textId="77777777" w:rsidR="005045D8" w:rsidRPr="00430DA8" w:rsidRDefault="00E72FD8" w:rsidP="00137BCE">
            <w:pPr>
              <w:rPr>
                <w:rFonts w:ascii="Arial" w:hAnsi="Arial" w:cs="Arial"/>
                <w:sz w:val="22"/>
                <w:szCs w:val="22"/>
              </w:rPr>
            </w:pPr>
            <w:sdt>
              <w:sdtPr>
                <w:rPr>
                  <w:rFonts w:ascii="Arial" w:hAnsi="Arial" w:cs="Arial"/>
                  <w:sz w:val="22"/>
                  <w:szCs w:val="22"/>
                </w:rPr>
                <w:id w:val="1051198100"/>
                <w14:checkbox>
                  <w14:checked w14:val="0"/>
                  <w14:checkedState w14:val="2612" w14:font="MS Gothic"/>
                  <w14:uncheckedState w14:val="2610" w14:font="MS Gothic"/>
                </w14:checkbox>
              </w:sdtPr>
              <w:sdtEndPr/>
              <w:sdtContent>
                <w:r w:rsidR="005045D8" w:rsidRPr="00430DA8">
                  <w:rPr>
                    <w:rFonts w:ascii="Segoe UI Symbol" w:eastAsia="MS Gothic" w:hAnsi="Segoe UI Symbol" w:cs="Segoe UI Symbol"/>
                    <w:sz w:val="22"/>
                    <w:szCs w:val="22"/>
                  </w:rPr>
                  <w:t>☐</w:t>
                </w:r>
              </w:sdtContent>
            </w:sdt>
            <w:r w:rsidR="005045D8" w:rsidRPr="00430DA8">
              <w:rPr>
                <w:rFonts w:ascii="Arial" w:hAnsi="Arial" w:cs="Arial"/>
                <w:sz w:val="22"/>
                <w:szCs w:val="22"/>
              </w:rPr>
              <w:t xml:space="preserve"> No                        </w:t>
            </w:r>
          </w:p>
        </w:tc>
        <w:tc>
          <w:tcPr>
            <w:tcW w:w="1710" w:type="dxa"/>
            <w:shd w:val="clear" w:color="auto" w:fill="1F3864" w:themeFill="accent1" w:themeFillShade="80"/>
            <w:vAlign w:val="center"/>
          </w:tcPr>
          <w:p w14:paraId="1F83ADE2" w14:textId="77777777" w:rsidR="005045D8" w:rsidRPr="00430DA8" w:rsidRDefault="005045D8" w:rsidP="00137BCE">
            <w:pPr>
              <w:rPr>
                <w:rFonts w:ascii="Arial" w:hAnsi="Arial" w:cs="Arial"/>
                <w:sz w:val="22"/>
                <w:szCs w:val="22"/>
              </w:rPr>
            </w:pPr>
          </w:p>
        </w:tc>
      </w:tr>
    </w:tbl>
    <w:p w14:paraId="2931F28D" w14:textId="70970211" w:rsidR="00EA174D" w:rsidRPr="00430DA8" w:rsidRDefault="005045D8" w:rsidP="005045D8">
      <w:pPr>
        <w:ind w:left="90" w:hanging="90"/>
        <w:jc w:val="both"/>
        <w:rPr>
          <w:rFonts w:ascii="Arial" w:hAnsi="Arial" w:cs="Arial"/>
          <w:sz w:val="16"/>
          <w:szCs w:val="16"/>
        </w:rPr>
      </w:pPr>
      <w:r w:rsidRPr="00430DA8">
        <w:rPr>
          <w:rFonts w:ascii="Arial" w:hAnsi="Arial" w:cs="Arial"/>
          <w:sz w:val="16"/>
          <w:szCs w:val="16"/>
          <w:vertAlign w:val="superscript"/>
        </w:rPr>
        <w:t>4</w:t>
      </w:r>
      <w:r w:rsidR="0039259D" w:rsidRPr="0039259D">
        <w:rPr>
          <w:rFonts w:ascii="Arial" w:hAnsi="Arial" w:cs="Arial"/>
          <w:sz w:val="16"/>
          <w:szCs w:val="16"/>
        </w:rPr>
        <w:t>Total New Jobs</w:t>
      </w:r>
      <w:bookmarkStart w:id="7" w:name="_Hlk90034787"/>
      <w:r w:rsidR="0039259D" w:rsidRPr="0039259D">
        <w:rPr>
          <w:rFonts w:ascii="Arial" w:hAnsi="Arial" w:cs="Arial"/>
          <w:sz w:val="16"/>
          <w:szCs w:val="16"/>
        </w:rPr>
        <w:t xml:space="preserve">, defined as full-time employment of an indefinite duration, </w:t>
      </w:r>
      <w:bookmarkEnd w:id="7"/>
      <w:r w:rsidR="0039259D" w:rsidRPr="0039259D">
        <w:rPr>
          <w:rFonts w:ascii="Arial" w:hAnsi="Arial" w:cs="Arial"/>
          <w:sz w:val="16"/>
          <w:szCs w:val="16"/>
        </w:rPr>
        <w:t>created by the Group as of the Reporting Date, each earning at least 150% of the Locality's Prevailing Average Wage as outlined in the MOU.</w:t>
      </w:r>
      <w:r w:rsidR="00611669">
        <w:rPr>
          <w:rFonts w:ascii="Arial" w:hAnsi="Arial" w:cs="Arial"/>
          <w:sz w:val="16"/>
          <w:szCs w:val="16"/>
        </w:rPr>
        <w:t xml:space="preserve"> </w:t>
      </w:r>
      <w:r w:rsidRPr="00430DA8">
        <w:rPr>
          <w:rFonts w:ascii="Arial" w:hAnsi="Arial" w:cs="Arial"/>
          <w:sz w:val="16"/>
          <w:szCs w:val="16"/>
        </w:rPr>
        <w:t xml:space="preserve">Qualifying New Jobs should be in addition to the applicable baseline employment of </w:t>
      </w:r>
      <w:r w:rsidRPr="00430DA8">
        <w:rPr>
          <w:rFonts w:ascii="Arial" w:hAnsi="Arial" w:cs="Arial"/>
          <w:sz w:val="16"/>
          <w:szCs w:val="16"/>
          <w:highlight w:val="yellow"/>
        </w:rPr>
        <w:t>____</w:t>
      </w:r>
      <w:r w:rsidRPr="00430DA8">
        <w:rPr>
          <w:rFonts w:ascii="Arial" w:hAnsi="Arial" w:cs="Arial"/>
          <w:sz w:val="16"/>
          <w:szCs w:val="16"/>
        </w:rPr>
        <w:t xml:space="preserve"> as established in the MOU. </w:t>
      </w:r>
      <w:r w:rsidR="00A45F6E" w:rsidRPr="00430DA8">
        <w:rPr>
          <w:rFonts w:ascii="Arial" w:hAnsi="Arial" w:cs="Arial"/>
          <w:sz w:val="16"/>
          <w:szCs w:val="16"/>
        </w:rPr>
        <w:t xml:space="preserve">Qualifying New Jobs may include tenant jobs or vendor jobs providing dedicated, full-time service to the Data Center. Jobs are not required to be physically located at the Data Center. </w:t>
      </w:r>
      <w:r w:rsidR="00692F1F" w:rsidRPr="00430DA8">
        <w:rPr>
          <w:rFonts w:ascii="Arial" w:hAnsi="Arial" w:cs="Arial"/>
          <w:sz w:val="16"/>
          <w:szCs w:val="16"/>
        </w:rPr>
        <w:t xml:space="preserve">Qualifying </w:t>
      </w:r>
      <w:r w:rsidR="00A45F6E" w:rsidRPr="00430DA8">
        <w:rPr>
          <w:rFonts w:ascii="Arial" w:hAnsi="Arial" w:cs="Arial"/>
          <w:sz w:val="16"/>
          <w:szCs w:val="16"/>
        </w:rPr>
        <w:t xml:space="preserve">New </w:t>
      </w:r>
      <w:r w:rsidR="00692F1F" w:rsidRPr="00430DA8">
        <w:rPr>
          <w:rFonts w:ascii="Arial" w:hAnsi="Arial" w:cs="Arial"/>
          <w:sz w:val="16"/>
          <w:szCs w:val="16"/>
        </w:rPr>
        <w:t>J</w:t>
      </w:r>
      <w:r w:rsidR="00A45F6E" w:rsidRPr="00430DA8">
        <w:rPr>
          <w:rFonts w:ascii="Arial" w:hAnsi="Arial" w:cs="Arial"/>
          <w:sz w:val="16"/>
          <w:szCs w:val="16"/>
        </w:rPr>
        <w:t>obs may be aggregated across the Data Center's facilities within a locality but not across localities.</w:t>
      </w:r>
      <w:r w:rsidR="00753C3F" w:rsidRPr="00430DA8">
        <w:rPr>
          <w:rFonts w:ascii="Arial" w:hAnsi="Arial" w:cs="Arial"/>
          <w:sz w:val="16"/>
          <w:szCs w:val="16"/>
        </w:rPr>
        <w:t xml:space="preserve"> </w:t>
      </w:r>
    </w:p>
    <w:p w14:paraId="7932A9D9" w14:textId="7C32CA4F" w:rsidR="005045D8" w:rsidRPr="00430DA8" w:rsidRDefault="00EA174D" w:rsidP="005045D8">
      <w:pPr>
        <w:ind w:left="90" w:hanging="90"/>
        <w:jc w:val="both"/>
        <w:rPr>
          <w:rFonts w:ascii="Arial" w:hAnsi="Arial" w:cs="Arial"/>
          <w:sz w:val="16"/>
          <w:szCs w:val="16"/>
        </w:rPr>
      </w:pPr>
      <w:r w:rsidRPr="00430DA8">
        <w:rPr>
          <w:rFonts w:ascii="Arial" w:hAnsi="Arial" w:cs="Arial"/>
          <w:sz w:val="16"/>
          <w:szCs w:val="16"/>
          <w:vertAlign w:val="superscript"/>
        </w:rPr>
        <w:t>5</w:t>
      </w:r>
      <w:r w:rsidR="005045D8" w:rsidRPr="00430DA8">
        <w:rPr>
          <w:rFonts w:ascii="Arial" w:hAnsi="Arial" w:cs="Arial"/>
          <w:sz w:val="16"/>
          <w:szCs w:val="16"/>
        </w:rPr>
        <w:t xml:space="preserve">Utilize the provided Excel template to calculate the Average Annual Wage for Qualifying New Jobs, based on the annualized salaries for those jobs. </w:t>
      </w:r>
      <w:r w:rsidRPr="00430DA8">
        <w:rPr>
          <w:rFonts w:ascii="Arial" w:hAnsi="Arial" w:cs="Arial"/>
          <w:sz w:val="16"/>
          <w:szCs w:val="16"/>
        </w:rPr>
        <w:t>Annual Wage calculations should be exclusive of the value of fringe benefits.</w:t>
      </w:r>
    </w:p>
    <w:p w14:paraId="34966B5E" w14:textId="6BAC14F3" w:rsidR="005045D8" w:rsidRPr="00430DA8" w:rsidRDefault="005045D8">
      <w:pPr>
        <w:rPr>
          <w:rFonts w:ascii="Arial" w:hAnsi="Arial" w:cs="Arial"/>
        </w:rPr>
      </w:pPr>
    </w:p>
    <w:tbl>
      <w:tblPr>
        <w:tblStyle w:val="TableGrid"/>
        <w:tblW w:w="9372" w:type="dxa"/>
        <w:tblInd w:w="-5" w:type="dxa"/>
        <w:tblLook w:val="04A0" w:firstRow="1" w:lastRow="0" w:firstColumn="1" w:lastColumn="0" w:noHBand="0" w:noVBand="1"/>
      </w:tblPr>
      <w:tblGrid>
        <w:gridCol w:w="4230"/>
        <w:gridCol w:w="1714"/>
        <w:gridCol w:w="1714"/>
        <w:gridCol w:w="1714"/>
      </w:tblGrid>
      <w:tr w:rsidR="005045D8" w:rsidRPr="00430DA8" w14:paraId="20CE4B3E" w14:textId="77777777" w:rsidTr="005045D8">
        <w:trPr>
          <w:trHeight w:val="432"/>
        </w:trPr>
        <w:tc>
          <w:tcPr>
            <w:tcW w:w="4230" w:type="dxa"/>
            <w:shd w:val="clear" w:color="auto" w:fill="1F3864" w:themeFill="accent1" w:themeFillShade="80"/>
            <w:vAlign w:val="center"/>
          </w:tcPr>
          <w:p w14:paraId="4134FDD1" w14:textId="2978C1B7" w:rsidR="005045D8" w:rsidRPr="00430DA8" w:rsidRDefault="005045D8"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Additional Job Creation</w:t>
            </w:r>
          </w:p>
        </w:tc>
        <w:tc>
          <w:tcPr>
            <w:tcW w:w="1714" w:type="dxa"/>
            <w:shd w:val="clear" w:color="auto" w:fill="1F3864" w:themeFill="accent1" w:themeFillShade="80"/>
            <w:vAlign w:val="center"/>
          </w:tcPr>
          <w:p w14:paraId="28FA1F68" w14:textId="77777777" w:rsidR="005045D8" w:rsidRPr="00430DA8" w:rsidRDefault="005045D8"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Total Jobs</w:t>
            </w:r>
          </w:p>
        </w:tc>
        <w:tc>
          <w:tcPr>
            <w:tcW w:w="1714" w:type="dxa"/>
            <w:shd w:val="clear" w:color="auto" w:fill="1F3864" w:themeFill="accent1" w:themeFillShade="80"/>
          </w:tcPr>
          <w:p w14:paraId="6162EBC0" w14:textId="6FD33C09" w:rsidR="005045D8" w:rsidRPr="00430DA8" w:rsidRDefault="00882B61"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Actual</w:t>
            </w:r>
          </w:p>
          <w:p w14:paraId="1C1937C6" w14:textId="6BDB9152" w:rsidR="005045D8" w:rsidRPr="00430DA8" w:rsidRDefault="005045D8"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Payroll</w:t>
            </w:r>
          </w:p>
        </w:tc>
        <w:tc>
          <w:tcPr>
            <w:tcW w:w="1714" w:type="dxa"/>
            <w:shd w:val="clear" w:color="auto" w:fill="1F3864" w:themeFill="accent1" w:themeFillShade="80"/>
            <w:vAlign w:val="center"/>
          </w:tcPr>
          <w:p w14:paraId="11789023" w14:textId="77777777" w:rsidR="005045D8" w:rsidRPr="00430DA8" w:rsidRDefault="005045D8"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Annualized</w:t>
            </w:r>
          </w:p>
          <w:p w14:paraId="1E93A283" w14:textId="69A59CAD" w:rsidR="005045D8" w:rsidRPr="00430DA8" w:rsidRDefault="005045D8"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Payroll</w:t>
            </w:r>
          </w:p>
        </w:tc>
      </w:tr>
      <w:tr w:rsidR="005045D8" w:rsidRPr="00430DA8" w14:paraId="3F138A4D" w14:textId="77777777" w:rsidTr="005045D8">
        <w:trPr>
          <w:trHeight w:val="360"/>
        </w:trPr>
        <w:tc>
          <w:tcPr>
            <w:tcW w:w="4230" w:type="dxa"/>
            <w:vAlign w:val="center"/>
          </w:tcPr>
          <w:p w14:paraId="4B8E48A4" w14:textId="5A04D3EB" w:rsidR="005045D8" w:rsidRPr="00430DA8" w:rsidRDefault="005045D8" w:rsidP="005045D8">
            <w:pPr>
              <w:rPr>
                <w:rFonts w:ascii="Arial" w:hAnsi="Arial" w:cs="Arial"/>
                <w:sz w:val="22"/>
                <w:szCs w:val="22"/>
              </w:rPr>
            </w:pPr>
            <w:r w:rsidRPr="00430DA8">
              <w:rPr>
                <w:rFonts w:ascii="Arial" w:hAnsi="Arial" w:cs="Arial"/>
                <w:sz w:val="22"/>
                <w:szCs w:val="22"/>
              </w:rPr>
              <w:t>Other New Full-Time Jobs</w:t>
            </w:r>
            <w:r w:rsidR="00EA174D" w:rsidRPr="00430DA8">
              <w:rPr>
                <w:rFonts w:ascii="Arial" w:hAnsi="Arial" w:cs="Arial"/>
                <w:sz w:val="22"/>
                <w:szCs w:val="22"/>
                <w:vertAlign w:val="superscript"/>
              </w:rPr>
              <w:t>6</w:t>
            </w:r>
          </w:p>
        </w:tc>
        <w:tc>
          <w:tcPr>
            <w:tcW w:w="1714" w:type="dxa"/>
            <w:shd w:val="clear" w:color="auto" w:fill="FFFFFF" w:themeFill="background1"/>
          </w:tcPr>
          <w:p w14:paraId="2C858ADB" w14:textId="77777777" w:rsidR="005045D8" w:rsidRPr="00430DA8" w:rsidRDefault="005045D8" w:rsidP="00137BCE">
            <w:pPr>
              <w:rPr>
                <w:rFonts w:ascii="Arial" w:hAnsi="Arial" w:cs="Arial"/>
                <w:sz w:val="22"/>
                <w:szCs w:val="22"/>
              </w:rPr>
            </w:pPr>
          </w:p>
        </w:tc>
        <w:tc>
          <w:tcPr>
            <w:tcW w:w="1714" w:type="dxa"/>
            <w:shd w:val="clear" w:color="auto" w:fill="FFFFFF" w:themeFill="background1"/>
          </w:tcPr>
          <w:p w14:paraId="7A77FFA6" w14:textId="77777777" w:rsidR="005045D8" w:rsidRPr="00430DA8" w:rsidRDefault="005045D8" w:rsidP="00137BCE">
            <w:pPr>
              <w:rPr>
                <w:rFonts w:ascii="Arial" w:hAnsi="Arial" w:cs="Arial"/>
                <w:sz w:val="22"/>
                <w:szCs w:val="22"/>
              </w:rPr>
            </w:pPr>
          </w:p>
        </w:tc>
        <w:tc>
          <w:tcPr>
            <w:tcW w:w="1714" w:type="dxa"/>
            <w:shd w:val="clear" w:color="auto" w:fill="FFFFFF" w:themeFill="background1"/>
          </w:tcPr>
          <w:p w14:paraId="1A2CADC8" w14:textId="0E7D5D7B" w:rsidR="005045D8" w:rsidRPr="00430DA8" w:rsidRDefault="005045D8" w:rsidP="00137BCE">
            <w:pPr>
              <w:rPr>
                <w:rFonts w:ascii="Arial" w:hAnsi="Arial" w:cs="Arial"/>
                <w:sz w:val="22"/>
                <w:szCs w:val="22"/>
              </w:rPr>
            </w:pPr>
          </w:p>
        </w:tc>
      </w:tr>
      <w:tr w:rsidR="005045D8" w:rsidRPr="00430DA8" w14:paraId="287479BC" w14:textId="77777777" w:rsidTr="005045D8">
        <w:trPr>
          <w:trHeight w:val="360"/>
        </w:trPr>
        <w:tc>
          <w:tcPr>
            <w:tcW w:w="4230" w:type="dxa"/>
            <w:vAlign w:val="center"/>
          </w:tcPr>
          <w:p w14:paraId="6BAD9219" w14:textId="12B6EE06" w:rsidR="005045D8" w:rsidRPr="00430DA8" w:rsidRDefault="005045D8" w:rsidP="005045D8">
            <w:pPr>
              <w:rPr>
                <w:rFonts w:ascii="Arial" w:hAnsi="Arial" w:cs="Arial"/>
                <w:sz w:val="22"/>
                <w:szCs w:val="22"/>
              </w:rPr>
            </w:pPr>
            <w:r w:rsidRPr="00430DA8">
              <w:rPr>
                <w:rFonts w:ascii="Arial" w:hAnsi="Arial" w:cs="Arial"/>
                <w:sz w:val="22"/>
                <w:szCs w:val="22"/>
              </w:rPr>
              <w:t>Other New Full-Time Equivalents</w:t>
            </w:r>
            <w:r w:rsidR="00EA174D" w:rsidRPr="00430DA8">
              <w:rPr>
                <w:rFonts w:ascii="Arial" w:hAnsi="Arial" w:cs="Arial"/>
                <w:sz w:val="22"/>
                <w:szCs w:val="22"/>
                <w:vertAlign w:val="superscript"/>
              </w:rPr>
              <w:t>7</w:t>
            </w:r>
          </w:p>
        </w:tc>
        <w:tc>
          <w:tcPr>
            <w:tcW w:w="1714" w:type="dxa"/>
            <w:shd w:val="clear" w:color="auto" w:fill="FFFFFF" w:themeFill="background1"/>
          </w:tcPr>
          <w:p w14:paraId="7CCAB906" w14:textId="77777777" w:rsidR="005045D8" w:rsidRPr="00430DA8" w:rsidRDefault="005045D8" w:rsidP="00137BCE">
            <w:pPr>
              <w:rPr>
                <w:rFonts w:ascii="Arial" w:hAnsi="Arial" w:cs="Arial"/>
                <w:sz w:val="22"/>
                <w:szCs w:val="22"/>
              </w:rPr>
            </w:pPr>
          </w:p>
        </w:tc>
        <w:tc>
          <w:tcPr>
            <w:tcW w:w="1714" w:type="dxa"/>
            <w:shd w:val="clear" w:color="auto" w:fill="FFFFFF" w:themeFill="background1"/>
          </w:tcPr>
          <w:p w14:paraId="176A9634" w14:textId="77777777" w:rsidR="005045D8" w:rsidRPr="00430DA8" w:rsidRDefault="005045D8" w:rsidP="00137BCE">
            <w:pPr>
              <w:rPr>
                <w:rFonts w:ascii="Arial" w:hAnsi="Arial" w:cs="Arial"/>
                <w:sz w:val="22"/>
                <w:szCs w:val="22"/>
              </w:rPr>
            </w:pPr>
          </w:p>
        </w:tc>
        <w:tc>
          <w:tcPr>
            <w:tcW w:w="1714" w:type="dxa"/>
            <w:shd w:val="clear" w:color="auto" w:fill="1F3864" w:themeFill="accent1" w:themeFillShade="80"/>
          </w:tcPr>
          <w:p w14:paraId="08290369" w14:textId="68978232" w:rsidR="005045D8" w:rsidRPr="00430DA8" w:rsidRDefault="005045D8" w:rsidP="00137BCE">
            <w:pPr>
              <w:rPr>
                <w:rFonts w:ascii="Arial" w:hAnsi="Arial" w:cs="Arial"/>
                <w:sz w:val="22"/>
                <w:szCs w:val="22"/>
              </w:rPr>
            </w:pPr>
          </w:p>
        </w:tc>
      </w:tr>
    </w:tbl>
    <w:p w14:paraId="47CBCEAA" w14:textId="30027F64" w:rsidR="005045D8" w:rsidRPr="00430DA8" w:rsidRDefault="00EA174D" w:rsidP="00693E02">
      <w:pPr>
        <w:ind w:left="90" w:hanging="90"/>
        <w:jc w:val="both"/>
        <w:rPr>
          <w:rFonts w:ascii="Arial" w:hAnsi="Arial" w:cs="Arial"/>
          <w:sz w:val="16"/>
          <w:szCs w:val="16"/>
        </w:rPr>
      </w:pPr>
      <w:r w:rsidRPr="00430DA8">
        <w:rPr>
          <w:rFonts w:ascii="Arial" w:hAnsi="Arial" w:cs="Arial"/>
          <w:sz w:val="16"/>
          <w:szCs w:val="16"/>
          <w:vertAlign w:val="superscript"/>
        </w:rPr>
        <w:t>6</w:t>
      </w:r>
      <w:r w:rsidR="00611669" w:rsidRPr="00611669">
        <w:rPr>
          <w:rFonts w:ascii="Arial" w:eastAsiaTheme="minorHAnsi" w:hAnsi="Arial" w:cs="Arial"/>
          <w:sz w:val="22"/>
          <w:szCs w:val="22"/>
        </w:rPr>
        <w:t xml:space="preserve"> </w:t>
      </w:r>
      <w:r w:rsidR="00693E02" w:rsidRPr="00693E02">
        <w:rPr>
          <w:rFonts w:ascii="Arial" w:hAnsi="Arial" w:cs="Arial"/>
          <w:sz w:val="16"/>
          <w:szCs w:val="16"/>
        </w:rPr>
        <w:t>Total Other New Full-Time Jobs, defined as full-time employment of an indefinite duration as of the Reporting Date, earning below 150% of the Locality's Prevailing Average Wage as outlined in the MOU</w:t>
      </w:r>
      <w:r w:rsidR="00693E02">
        <w:rPr>
          <w:rFonts w:ascii="Arial" w:hAnsi="Arial" w:cs="Arial"/>
          <w:sz w:val="16"/>
          <w:szCs w:val="16"/>
        </w:rPr>
        <w:t xml:space="preserve">. </w:t>
      </w:r>
      <w:r w:rsidR="005045D8" w:rsidRPr="00430DA8">
        <w:rPr>
          <w:rFonts w:ascii="Arial" w:hAnsi="Arial" w:cs="Arial"/>
          <w:sz w:val="16"/>
          <w:szCs w:val="16"/>
        </w:rPr>
        <w:t>Utilize the provided Excel template to calculate the Average Annual Wage for Other New Full-Time Jobs, based on the annualized salaries for those jobs.</w:t>
      </w:r>
      <w:r w:rsidR="00A45F6E" w:rsidRPr="00430DA8">
        <w:rPr>
          <w:rFonts w:ascii="Arial" w:hAnsi="Arial" w:cs="Arial"/>
          <w:sz w:val="16"/>
          <w:szCs w:val="16"/>
        </w:rPr>
        <w:t xml:space="preserve"> Jobs are not required to be physically located at the Data Center. </w:t>
      </w:r>
      <w:r w:rsidR="00692F1F" w:rsidRPr="00430DA8">
        <w:rPr>
          <w:rFonts w:ascii="Arial" w:hAnsi="Arial" w:cs="Arial"/>
          <w:sz w:val="16"/>
          <w:szCs w:val="16"/>
        </w:rPr>
        <w:t>Other New J</w:t>
      </w:r>
      <w:r w:rsidR="00A45F6E" w:rsidRPr="00430DA8">
        <w:rPr>
          <w:rFonts w:ascii="Arial" w:hAnsi="Arial" w:cs="Arial"/>
          <w:sz w:val="16"/>
          <w:szCs w:val="16"/>
        </w:rPr>
        <w:t>obs may be aggregated across the Data Center's facilities within a locality but not across localities.</w:t>
      </w:r>
      <w:r w:rsidR="00692F1F" w:rsidRPr="00430DA8">
        <w:rPr>
          <w:rFonts w:ascii="Arial" w:hAnsi="Arial" w:cs="Arial"/>
          <w:sz w:val="16"/>
          <w:szCs w:val="16"/>
        </w:rPr>
        <w:t xml:space="preserve"> Other New Full-Time Jobs may include tenant jobs or vendor jobs providing dedicated, full-time service to the Data Center.</w:t>
      </w:r>
    </w:p>
    <w:p w14:paraId="43ACAC15" w14:textId="3EBD8242" w:rsidR="005045D8" w:rsidRPr="00430DA8" w:rsidRDefault="00EA174D" w:rsidP="005045D8">
      <w:pPr>
        <w:ind w:left="90" w:hanging="90"/>
        <w:jc w:val="both"/>
        <w:rPr>
          <w:rFonts w:ascii="Arial" w:hAnsi="Arial" w:cs="Arial"/>
          <w:sz w:val="16"/>
          <w:szCs w:val="16"/>
        </w:rPr>
      </w:pPr>
      <w:r w:rsidRPr="00430DA8">
        <w:rPr>
          <w:rFonts w:ascii="Arial" w:hAnsi="Arial" w:cs="Arial"/>
          <w:sz w:val="16"/>
          <w:szCs w:val="16"/>
          <w:vertAlign w:val="superscript"/>
        </w:rPr>
        <w:t>7</w:t>
      </w:r>
      <w:r w:rsidR="005045D8" w:rsidRPr="00430DA8">
        <w:rPr>
          <w:rFonts w:ascii="Arial" w:hAnsi="Arial" w:cs="Arial"/>
          <w:sz w:val="16"/>
          <w:szCs w:val="16"/>
        </w:rPr>
        <w:t xml:space="preserve">Other Full-Time Equivalents (FTEs) include the total hours worked by part-time employees </w:t>
      </w:r>
      <w:r w:rsidR="008B53D3" w:rsidRPr="00430DA8">
        <w:rPr>
          <w:rFonts w:ascii="Arial" w:hAnsi="Arial" w:cs="Arial"/>
          <w:sz w:val="16"/>
          <w:szCs w:val="16"/>
        </w:rPr>
        <w:t xml:space="preserve">of the Group </w:t>
      </w:r>
      <w:r w:rsidR="005045D8" w:rsidRPr="00430DA8">
        <w:rPr>
          <w:rFonts w:ascii="Arial" w:hAnsi="Arial" w:cs="Arial"/>
          <w:sz w:val="16"/>
          <w:szCs w:val="16"/>
        </w:rPr>
        <w:t>during the Reporting Period, divided by 2080 hours</w:t>
      </w:r>
      <w:r w:rsidR="00FB0E29" w:rsidRPr="00430DA8">
        <w:rPr>
          <w:rFonts w:ascii="Arial" w:hAnsi="Arial" w:cs="Arial"/>
          <w:sz w:val="16"/>
          <w:szCs w:val="16"/>
        </w:rPr>
        <w:t xml:space="preserve"> (40 hours at 52 weeks per year).</w:t>
      </w:r>
      <w:r w:rsidR="005045D8" w:rsidRPr="00430DA8">
        <w:rPr>
          <w:rFonts w:ascii="Arial" w:hAnsi="Arial" w:cs="Arial"/>
          <w:sz w:val="16"/>
          <w:szCs w:val="16"/>
        </w:rPr>
        <w:t xml:space="preserve"> Utilize the provided Excel template to calculate the Actual Payroll for Other New FTEs.</w:t>
      </w:r>
      <w:r w:rsidR="00A45F6E" w:rsidRPr="00430DA8">
        <w:rPr>
          <w:rFonts w:ascii="Arial" w:hAnsi="Arial" w:cs="Arial"/>
          <w:sz w:val="16"/>
          <w:szCs w:val="16"/>
        </w:rPr>
        <w:t xml:space="preserve"> Other New FTEs may include tenant jobs. Jobs are not required to be physically located at the Data Center. </w:t>
      </w:r>
      <w:r w:rsidR="00692F1F" w:rsidRPr="00430DA8">
        <w:rPr>
          <w:rFonts w:ascii="Arial" w:hAnsi="Arial" w:cs="Arial"/>
          <w:sz w:val="16"/>
          <w:szCs w:val="16"/>
        </w:rPr>
        <w:t xml:space="preserve">Other New </w:t>
      </w:r>
      <w:r w:rsidR="00A45F6E" w:rsidRPr="00430DA8">
        <w:rPr>
          <w:rFonts w:ascii="Arial" w:hAnsi="Arial" w:cs="Arial"/>
          <w:sz w:val="16"/>
          <w:szCs w:val="16"/>
        </w:rPr>
        <w:t>FTEs may be aggregated across the Data Center's facilities within a locality, but not across localities.</w:t>
      </w:r>
    </w:p>
    <w:p w14:paraId="7DA2CFE8" w14:textId="6A0F0066" w:rsidR="006C1590" w:rsidRPr="00430DA8" w:rsidRDefault="006C1590" w:rsidP="005045D8">
      <w:pPr>
        <w:ind w:left="90" w:hanging="90"/>
        <w:jc w:val="both"/>
        <w:rPr>
          <w:rFonts w:ascii="Arial" w:hAnsi="Arial" w:cs="Arial"/>
          <w:sz w:val="16"/>
          <w:szCs w:val="16"/>
        </w:rPr>
      </w:pPr>
    </w:p>
    <w:p w14:paraId="5CC486E3" w14:textId="77777777" w:rsidR="006C1590" w:rsidRPr="00430DA8" w:rsidRDefault="006C1590" w:rsidP="006C1590">
      <w:pPr>
        <w:rPr>
          <w:rFonts w:ascii="Arial" w:hAnsi="Arial" w:cs="Arial"/>
          <w:b/>
          <w:szCs w:val="24"/>
        </w:rPr>
      </w:pPr>
    </w:p>
    <w:p w14:paraId="7C9061F6" w14:textId="7A7796B8" w:rsidR="006C1590" w:rsidRPr="00430DA8" w:rsidRDefault="006C1590" w:rsidP="006C1590">
      <w:pPr>
        <w:rPr>
          <w:rFonts w:ascii="Arial" w:hAnsi="Arial" w:cs="Arial"/>
          <w:b/>
          <w:szCs w:val="24"/>
        </w:rPr>
      </w:pPr>
      <w:r w:rsidRPr="00430DA8">
        <w:rPr>
          <w:rFonts w:ascii="Arial" w:hAnsi="Arial" w:cs="Arial"/>
          <w:b/>
          <w:szCs w:val="24"/>
        </w:rPr>
        <w:t>COMMENTS:</w:t>
      </w:r>
    </w:p>
    <w:p w14:paraId="4A0B0CEF" w14:textId="073AF007" w:rsidR="006C1590" w:rsidRPr="00430DA8" w:rsidRDefault="006C1590" w:rsidP="006C1590">
      <w:pPr>
        <w:jc w:val="both"/>
        <w:rPr>
          <w:rFonts w:ascii="Arial" w:hAnsi="Arial" w:cs="Arial"/>
          <w:sz w:val="18"/>
          <w:szCs w:val="18"/>
        </w:rPr>
      </w:pPr>
      <w:r w:rsidRPr="00430DA8">
        <w:rPr>
          <w:rFonts w:ascii="Arial" w:hAnsi="Arial" w:cs="Arial"/>
          <w:sz w:val="18"/>
          <w:szCs w:val="18"/>
        </w:rPr>
        <w:t>Discuss project status, including progress toward targets, changes, or likely changes to the nature of the project that may impact the achievement of targets and other information relevant to project performance.  If the project is not on track to meet targets or you have reported low confidence with any metrics on the first page of this report, please explain.</w:t>
      </w:r>
    </w:p>
    <w:p w14:paraId="24FBFC53" w14:textId="77777777" w:rsidR="006C1590" w:rsidRPr="00430DA8" w:rsidRDefault="006C1590" w:rsidP="006C1590">
      <w:pPr>
        <w:rPr>
          <w:rFonts w:ascii="Arial" w:hAnsi="Arial" w:cs="Arial"/>
          <w:szCs w:val="24"/>
        </w:rPr>
      </w:pPr>
    </w:p>
    <w:p w14:paraId="4BF396EF" w14:textId="77777777" w:rsidR="00693E02" w:rsidRDefault="00693E02" w:rsidP="00693E02">
      <w:pPr>
        <w:rPr>
          <w:rFonts w:ascii="Arial" w:hAnsi="Arial" w:cs="Arial"/>
          <w:b/>
          <w:szCs w:val="24"/>
        </w:rPr>
      </w:pPr>
    </w:p>
    <w:p w14:paraId="7C7D37F0" w14:textId="77777777" w:rsidR="00693E02" w:rsidRDefault="00693E02" w:rsidP="00693E02">
      <w:pPr>
        <w:rPr>
          <w:rFonts w:ascii="Arial" w:hAnsi="Arial" w:cs="Arial"/>
          <w:b/>
          <w:sz w:val="20"/>
        </w:rPr>
      </w:pPr>
    </w:p>
    <w:p w14:paraId="783026DF" w14:textId="77777777" w:rsidR="00693E02" w:rsidRDefault="00693E02" w:rsidP="00693E02">
      <w:pPr>
        <w:rPr>
          <w:rFonts w:ascii="Arial" w:hAnsi="Arial" w:cs="Arial"/>
          <w:b/>
          <w:sz w:val="20"/>
        </w:rPr>
      </w:pPr>
    </w:p>
    <w:p w14:paraId="1EE9F02F" w14:textId="77777777" w:rsidR="00693E02" w:rsidRDefault="00693E02" w:rsidP="00693E02">
      <w:pPr>
        <w:rPr>
          <w:rFonts w:ascii="Arial" w:hAnsi="Arial" w:cs="Arial"/>
          <w:b/>
          <w:sz w:val="20"/>
        </w:rPr>
      </w:pPr>
    </w:p>
    <w:p w14:paraId="6CE3776F" w14:textId="77777777" w:rsidR="00693E02" w:rsidRDefault="00693E02" w:rsidP="00693E02">
      <w:pPr>
        <w:rPr>
          <w:rFonts w:ascii="Arial" w:hAnsi="Arial" w:cs="Arial"/>
          <w:b/>
          <w:sz w:val="20"/>
        </w:rPr>
      </w:pPr>
    </w:p>
    <w:p w14:paraId="0E7057BB" w14:textId="77777777" w:rsidR="00693E02" w:rsidRDefault="00693E02" w:rsidP="00693E02">
      <w:pPr>
        <w:rPr>
          <w:rFonts w:ascii="Arial" w:hAnsi="Arial" w:cs="Arial"/>
          <w:b/>
          <w:sz w:val="20"/>
        </w:rPr>
      </w:pPr>
    </w:p>
    <w:p w14:paraId="353181C8" w14:textId="77777777" w:rsidR="00693E02" w:rsidRDefault="00693E02" w:rsidP="00693E02">
      <w:pPr>
        <w:rPr>
          <w:rFonts w:ascii="Arial" w:hAnsi="Arial" w:cs="Arial"/>
          <w:b/>
          <w:sz w:val="20"/>
        </w:rPr>
      </w:pPr>
    </w:p>
    <w:p w14:paraId="620CC2CB" w14:textId="77777777" w:rsidR="00693E02" w:rsidRDefault="00693E02" w:rsidP="00693E02">
      <w:pPr>
        <w:rPr>
          <w:rFonts w:ascii="Arial" w:hAnsi="Arial" w:cs="Arial"/>
          <w:b/>
          <w:sz w:val="20"/>
        </w:rPr>
      </w:pPr>
    </w:p>
    <w:p w14:paraId="0CC79E9D" w14:textId="77777777" w:rsidR="00693E02" w:rsidRDefault="00693E02" w:rsidP="00693E02">
      <w:pPr>
        <w:rPr>
          <w:rFonts w:ascii="Arial" w:hAnsi="Arial" w:cs="Arial"/>
          <w:b/>
          <w:sz w:val="20"/>
        </w:rPr>
      </w:pPr>
    </w:p>
    <w:p w14:paraId="23A5437C" w14:textId="77777777" w:rsidR="00693E02" w:rsidRDefault="00693E02" w:rsidP="00693E02">
      <w:pPr>
        <w:rPr>
          <w:rFonts w:ascii="Arial" w:hAnsi="Arial" w:cs="Arial"/>
          <w:b/>
          <w:sz w:val="20"/>
        </w:rPr>
      </w:pPr>
    </w:p>
    <w:p w14:paraId="1B79EEE6" w14:textId="77777777" w:rsidR="00693E02" w:rsidRDefault="00693E02" w:rsidP="00693E02">
      <w:pPr>
        <w:rPr>
          <w:rFonts w:ascii="Arial" w:hAnsi="Arial" w:cs="Arial"/>
          <w:b/>
          <w:sz w:val="20"/>
        </w:rPr>
      </w:pPr>
    </w:p>
    <w:p w14:paraId="6396C825" w14:textId="2FCEB1AA" w:rsidR="006C1590" w:rsidRPr="00430DA8" w:rsidRDefault="0074594A" w:rsidP="00693E02">
      <w:pPr>
        <w:rPr>
          <w:rFonts w:ascii="Arial" w:hAnsi="Arial" w:cs="Arial"/>
          <w:b/>
          <w:sz w:val="20"/>
        </w:rPr>
      </w:pPr>
      <w:r>
        <w:rPr>
          <w:rFonts w:ascii="Arial" w:hAnsi="Arial" w:cs="Arial"/>
          <w:b/>
          <w:sz w:val="20"/>
        </w:rPr>
        <w:t>T</w:t>
      </w:r>
      <w:r w:rsidR="006C1590" w:rsidRPr="00430DA8">
        <w:rPr>
          <w:rFonts w:ascii="Arial" w:hAnsi="Arial" w:cs="Arial"/>
          <w:b/>
          <w:sz w:val="20"/>
        </w:rPr>
        <w:t>O BE CERTIFIED BY AN AUTHORIZED REPRESENTATIVE OF THE COMPANY:</w:t>
      </w:r>
    </w:p>
    <w:p w14:paraId="2A890C3C" w14:textId="77777777" w:rsidR="006C1590" w:rsidRPr="00430DA8" w:rsidRDefault="006C1590" w:rsidP="006C1590">
      <w:pPr>
        <w:rPr>
          <w:rFonts w:ascii="Arial" w:hAnsi="Arial" w:cs="Arial"/>
          <w:sz w:val="20"/>
        </w:rPr>
      </w:pPr>
    </w:p>
    <w:p w14:paraId="66A716A3" w14:textId="77777777" w:rsidR="006C1590" w:rsidRPr="00430DA8" w:rsidRDefault="006C1590" w:rsidP="006C1590">
      <w:pPr>
        <w:rPr>
          <w:rFonts w:ascii="Arial" w:hAnsi="Arial" w:cs="Arial"/>
          <w:sz w:val="20"/>
        </w:rPr>
      </w:pPr>
      <w:r w:rsidRPr="00430DA8">
        <w:rPr>
          <w:rFonts w:ascii="Arial" w:hAnsi="Arial" w:cs="Arial"/>
          <w:sz w:val="20"/>
        </w:rPr>
        <w:t>I certify that I have examined this report, and to the best of my knowledge and belief, it is true, correct, and complete.</w:t>
      </w:r>
    </w:p>
    <w:p w14:paraId="331C57F0" w14:textId="77777777" w:rsidR="006C1590" w:rsidRPr="00430DA8" w:rsidRDefault="006C1590" w:rsidP="006C1590">
      <w:pPr>
        <w:rPr>
          <w:rFonts w:ascii="Arial" w:hAnsi="Arial" w:cs="Arial"/>
          <w:sz w:val="20"/>
        </w:rPr>
      </w:pPr>
    </w:p>
    <w:p w14:paraId="61665B2A" w14:textId="77777777" w:rsidR="006C1590" w:rsidRPr="00430DA8" w:rsidRDefault="006C1590" w:rsidP="006C1590">
      <w:pPr>
        <w:contextualSpacing/>
        <w:rPr>
          <w:rFonts w:ascii="Arial" w:hAnsi="Arial" w:cs="Arial"/>
          <w:sz w:val="20"/>
          <w:u w:val="single"/>
        </w:rPr>
      </w:pPr>
      <w:r w:rsidRPr="00430DA8">
        <w:rPr>
          <w:rFonts w:ascii="Arial" w:hAnsi="Arial" w:cs="Arial"/>
          <w:sz w:val="20"/>
        </w:rPr>
        <w:t xml:space="preserve">Company:  </w:t>
      </w:r>
      <w:r w:rsidRPr="00430DA8">
        <w:rPr>
          <w:rFonts w:ascii="Arial" w:hAnsi="Arial" w:cs="Arial"/>
          <w:sz w:val="20"/>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p>
    <w:p w14:paraId="2EC45751" w14:textId="77777777" w:rsidR="006C1590" w:rsidRPr="00430DA8" w:rsidRDefault="006C1590" w:rsidP="006C1590">
      <w:pPr>
        <w:contextualSpacing/>
        <w:rPr>
          <w:rFonts w:ascii="Arial" w:hAnsi="Arial" w:cs="Arial"/>
          <w:sz w:val="20"/>
        </w:rPr>
      </w:pPr>
    </w:p>
    <w:p w14:paraId="3D5677F9" w14:textId="77777777" w:rsidR="006C1590" w:rsidRPr="00430DA8" w:rsidRDefault="006C1590" w:rsidP="006C1590">
      <w:pPr>
        <w:contextualSpacing/>
        <w:rPr>
          <w:rFonts w:ascii="Arial" w:hAnsi="Arial" w:cs="Arial"/>
          <w:sz w:val="20"/>
        </w:rPr>
      </w:pPr>
    </w:p>
    <w:p w14:paraId="3945521D" w14:textId="77777777" w:rsidR="006C1590" w:rsidRPr="00430DA8" w:rsidRDefault="006C1590" w:rsidP="006C1590">
      <w:pPr>
        <w:ind w:left="720" w:firstLine="720"/>
        <w:contextualSpacing/>
        <w:rPr>
          <w:rFonts w:ascii="Arial" w:hAnsi="Arial" w:cs="Arial"/>
          <w:sz w:val="20"/>
        </w:rPr>
      </w:pPr>
      <w:r w:rsidRPr="00430DA8">
        <w:rPr>
          <w:rFonts w:ascii="Arial" w:hAnsi="Arial" w:cs="Arial"/>
          <w:sz w:val="20"/>
        </w:rPr>
        <w:t xml:space="preserve">By: </w:t>
      </w:r>
      <w:r w:rsidRPr="00430DA8">
        <w:rPr>
          <w:rFonts w:ascii="Arial" w:hAnsi="Arial" w:cs="Arial"/>
          <w:sz w:val="20"/>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p>
    <w:p w14:paraId="336C0764" w14:textId="77777777" w:rsidR="006C1590" w:rsidRPr="00430DA8" w:rsidRDefault="006C1590" w:rsidP="006C1590">
      <w:pPr>
        <w:contextualSpacing/>
        <w:rPr>
          <w:rFonts w:ascii="Arial" w:hAnsi="Arial" w:cs="Arial"/>
          <w:sz w:val="20"/>
        </w:rPr>
      </w:pPr>
    </w:p>
    <w:p w14:paraId="52644D89" w14:textId="77777777" w:rsidR="006C1590" w:rsidRPr="00430DA8" w:rsidRDefault="006C1590" w:rsidP="006C1590">
      <w:pPr>
        <w:ind w:left="720" w:firstLine="720"/>
        <w:contextualSpacing/>
        <w:rPr>
          <w:rFonts w:ascii="Arial" w:hAnsi="Arial" w:cs="Arial"/>
          <w:sz w:val="20"/>
          <w:u w:val="single"/>
        </w:rPr>
      </w:pPr>
      <w:r w:rsidRPr="00430DA8">
        <w:rPr>
          <w:rFonts w:ascii="Arial" w:hAnsi="Arial" w:cs="Arial"/>
          <w:sz w:val="20"/>
        </w:rPr>
        <w:t xml:space="preserve">Name: </w:t>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p>
    <w:p w14:paraId="6CFF622D" w14:textId="77777777" w:rsidR="006C1590" w:rsidRPr="00430DA8" w:rsidRDefault="006C1590" w:rsidP="006C1590">
      <w:pPr>
        <w:contextualSpacing/>
        <w:rPr>
          <w:rFonts w:ascii="Arial" w:hAnsi="Arial" w:cs="Arial"/>
          <w:sz w:val="20"/>
        </w:rPr>
      </w:pPr>
    </w:p>
    <w:p w14:paraId="1C663749" w14:textId="77777777" w:rsidR="006C1590" w:rsidRPr="00430DA8" w:rsidRDefault="006C1590" w:rsidP="006C1590">
      <w:pPr>
        <w:ind w:left="720" w:firstLine="720"/>
        <w:contextualSpacing/>
        <w:rPr>
          <w:rFonts w:ascii="Arial" w:hAnsi="Arial" w:cs="Arial"/>
          <w:sz w:val="20"/>
          <w:u w:val="single"/>
        </w:rPr>
      </w:pPr>
      <w:r w:rsidRPr="00430DA8">
        <w:rPr>
          <w:rFonts w:ascii="Arial" w:hAnsi="Arial" w:cs="Arial"/>
          <w:sz w:val="20"/>
        </w:rPr>
        <w:t>Title:</w:t>
      </w:r>
      <w:r w:rsidRPr="00430DA8">
        <w:rPr>
          <w:rFonts w:ascii="Arial" w:hAnsi="Arial" w:cs="Arial"/>
          <w:sz w:val="20"/>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p>
    <w:p w14:paraId="1863A465" w14:textId="77777777" w:rsidR="006C1590" w:rsidRPr="00430DA8" w:rsidRDefault="006C1590" w:rsidP="006C1590">
      <w:pPr>
        <w:contextualSpacing/>
        <w:rPr>
          <w:rFonts w:ascii="Arial" w:hAnsi="Arial" w:cs="Arial"/>
          <w:sz w:val="20"/>
        </w:rPr>
      </w:pPr>
    </w:p>
    <w:p w14:paraId="41A664FF" w14:textId="77777777" w:rsidR="006C1590" w:rsidRPr="00430DA8" w:rsidRDefault="006C1590" w:rsidP="006C1590">
      <w:pPr>
        <w:ind w:left="720" w:firstLine="720"/>
        <w:contextualSpacing/>
        <w:rPr>
          <w:rFonts w:ascii="Arial" w:hAnsi="Arial" w:cs="Arial"/>
          <w:sz w:val="20"/>
          <w:u w:val="single"/>
        </w:rPr>
      </w:pPr>
      <w:r w:rsidRPr="00430DA8">
        <w:rPr>
          <w:rFonts w:ascii="Arial" w:hAnsi="Arial" w:cs="Arial"/>
          <w:sz w:val="20"/>
        </w:rPr>
        <w:t>Date:</w:t>
      </w:r>
      <w:r w:rsidRPr="00430DA8">
        <w:rPr>
          <w:rFonts w:ascii="Arial" w:hAnsi="Arial" w:cs="Arial"/>
          <w:sz w:val="20"/>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p>
    <w:p w14:paraId="277D6E38" w14:textId="77777777" w:rsidR="006C1590" w:rsidRPr="00430DA8" w:rsidRDefault="006C1590" w:rsidP="006C1590">
      <w:pPr>
        <w:rPr>
          <w:rFonts w:ascii="Arial" w:hAnsi="Arial" w:cs="Arial"/>
          <w:sz w:val="20"/>
        </w:rPr>
      </w:pPr>
    </w:p>
    <w:p w14:paraId="11FA1D2F" w14:textId="77777777" w:rsidR="006C1590" w:rsidRPr="00430DA8" w:rsidRDefault="006C1590" w:rsidP="006C1590">
      <w:pPr>
        <w:rPr>
          <w:rFonts w:ascii="Arial" w:hAnsi="Arial" w:cs="Arial"/>
          <w:sz w:val="20"/>
        </w:rPr>
      </w:pPr>
    </w:p>
    <w:p w14:paraId="340D9A80" w14:textId="22D78F76" w:rsidR="00693E02" w:rsidRDefault="006C1590" w:rsidP="00693E02">
      <w:pPr>
        <w:jc w:val="both"/>
        <w:rPr>
          <w:rStyle w:val="Hyperlink"/>
          <w:rFonts w:ascii="Arial" w:hAnsi="Arial" w:cs="Arial"/>
          <w:sz w:val="20"/>
        </w:rPr>
      </w:pPr>
      <w:r w:rsidRPr="00430DA8">
        <w:rPr>
          <w:rFonts w:ascii="Arial" w:hAnsi="Arial" w:cs="Arial"/>
          <w:b/>
          <w:bCs/>
          <w:sz w:val="20"/>
        </w:rPr>
        <w:t>Please return to:</w:t>
      </w:r>
      <w:r w:rsidRPr="00430DA8">
        <w:rPr>
          <w:rFonts w:ascii="Arial" w:hAnsi="Arial" w:cs="Arial"/>
          <w:sz w:val="20"/>
        </w:rPr>
        <w:t xml:space="preserve"> John Michael Haynes, Incentives Division 804.545.5655, </w:t>
      </w:r>
      <w:hyperlink r:id="rId4" w:history="1">
        <w:r w:rsidR="00EA174D" w:rsidRPr="00430DA8">
          <w:rPr>
            <w:rStyle w:val="Hyperlink"/>
            <w:rFonts w:ascii="Arial" w:hAnsi="Arial" w:cs="Arial"/>
            <w:sz w:val="20"/>
          </w:rPr>
          <w:t>jmhaynes@vedp.org</w:t>
        </w:r>
      </w:hyperlink>
      <w:r w:rsidR="00693E02">
        <w:rPr>
          <w:rStyle w:val="Hyperlink"/>
          <w:rFonts w:ascii="Arial" w:hAnsi="Arial" w:cs="Arial"/>
          <w:sz w:val="20"/>
        </w:rPr>
        <w:br w:type="page"/>
      </w:r>
    </w:p>
    <w:bookmarkEnd w:id="6"/>
    <w:p w14:paraId="45D8A942" w14:textId="7D9D55BE" w:rsidR="00EA174D" w:rsidRPr="00430DA8" w:rsidRDefault="00EA174D" w:rsidP="00EA174D">
      <w:pPr>
        <w:jc w:val="center"/>
        <w:rPr>
          <w:rFonts w:ascii="Arial" w:hAnsi="Arial" w:cs="Arial"/>
          <w:b/>
          <w:sz w:val="22"/>
          <w:szCs w:val="22"/>
        </w:rPr>
      </w:pPr>
      <w:r w:rsidRPr="00430DA8">
        <w:rPr>
          <w:rFonts w:ascii="Arial" w:hAnsi="Arial" w:cs="Arial"/>
          <w:b/>
          <w:sz w:val="22"/>
          <w:szCs w:val="22"/>
        </w:rPr>
        <w:lastRenderedPageBreak/>
        <w:t>FINAL PERFORMANCE REPORT</w:t>
      </w:r>
    </w:p>
    <w:p w14:paraId="23E22BF5" w14:textId="77777777" w:rsidR="00EA174D" w:rsidRPr="00430DA8" w:rsidRDefault="00EA174D" w:rsidP="00EA174D">
      <w:pPr>
        <w:jc w:val="center"/>
        <w:rPr>
          <w:rFonts w:ascii="Arial" w:hAnsi="Arial" w:cs="Arial"/>
          <w:b/>
          <w:sz w:val="22"/>
          <w:szCs w:val="22"/>
        </w:rPr>
      </w:pPr>
      <w:r w:rsidRPr="00430DA8">
        <w:rPr>
          <w:rFonts w:ascii="Arial" w:hAnsi="Arial" w:cs="Arial"/>
          <w:b/>
          <w:sz w:val="22"/>
          <w:szCs w:val="22"/>
        </w:rPr>
        <w:t>MEMORANDUM OF UNDERSTANDING</w:t>
      </w:r>
    </w:p>
    <w:p w14:paraId="36BD2DD2" w14:textId="77777777" w:rsidR="00EA174D" w:rsidRPr="00430DA8" w:rsidRDefault="00EA174D" w:rsidP="00EA174D">
      <w:pPr>
        <w:jc w:val="center"/>
        <w:rPr>
          <w:rFonts w:ascii="Arial" w:hAnsi="Arial" w:cs="Arial"/>
          <w:b/>
          <w:sz w:val="22"/>
          <w:szCs w:val="22"/>
        </w:rPr>
      </w:pPr>
      <w:r w:rsidRPr="00430DA8">
        <w:rPr>
          <w:rFonts w:ascii="Arial" w:hAnsi="Arial" w:cs="Arial"/>
          <w:b/>
          <w:sz w:val="22"/>
          <w:szCs w:val="22"/>
        </w:rPr>
        <w:t>DATA CENTER RETAIL SALES &amp; USE TAX EXEMPTION</w:t>
      </w:r>
    </w:p>
    <w:p w14:paraId="1293A6A3" w14:textId="77777777" w:rsidR="00EA174D" w:rsidRPr="00430DA8" w:rsidRDefault="00EA174D" w:rsidP="00EA174D">
      <w:pPr>
        <w:jc w:val="center"/>
        <w:rPr>
          <w:rFonts w:ascii="Arial" w:hAnsi="Arial" w:cs="Arial"/>
          <w:b/>
          <w:sz w:val="22"/>
          <w:szCs w:val="22"/>
        </w:rPr>
      </w:pPr>
      <w:r w:rsidRPr="00430DA8">
        <w:rPr>
          <w:rFonts w:ascii="Arial" w:hAnsi="Arial" w:cs="Arial"/>
          <w:b/>
          <w:sz w:val="22"/>
          <w:szCs w:val="22"/>
        </w:rPr>
        <w:t xml:space="preserve">COLOCATION </w:t>
      </w:r>
    </w:p>
    <w:p w14:paraId="042C6382" w14:textId="77777777" w:rsidR="00EA174D" w:rsidRPr="00430DA8" w:rsidRDefault="00EA174D" w:rsidP="00EA174D">
      <w:pPr>
        <w:jc w:val="center"/>
        <w:rPr>
          <w:rFonts w:ascii="Arial" w:hAnsi="Arial" w:cs="Arial"/>
          <w:b/>
          <w:sz w:val="22"/>
          <w:szCs w:val="22"/>
        </w:rPr>
      </w:pPr>
    </w:p>
    <w:p w14:paraId="35F21EF6" w14:textId="33AAD180" w:rsidR="00EA174D" w:rsidRPr="00430DA8" w:rsidRDefault="00EA174D" w:rsidP="00EA174D">
      <w:pPr>
        <w:jc w:val="center"/>
        <w:rPr>
          <w:rFonts w:ascii="Arial" w:hAnsi="Arial" w:cs="Arial"/>
          <w:b/>
          <w:sz w:val="22"/>
          <w:szCs w:val="22"/>
        </w:rPr>
      </w:pPr>
      <w:r w:rsidRPr="00430DA8">
        <w:rPr>
          <w:rFonts w:ascii="Arial" w:hAnsi="Arial" w:cs="Arial"/>
          <w:b/>
          <w:sz w:val="22"/>
          <w:szCs w:val="22"/>
        </w:rPr>
        <w:t>EXHIBIT E</w:t>
      </w:r>
    </w:p>
    <w:p w14:paraId="249A87B4" w14:textId="77777777" w:rsidR="00EA174D" w:rsidRPr="00430DA8" w:rsidRDefault="00EA174D" w:rsidP="00EA174D">
      <w:pPr>
        <w:rPr>
          <w:rFonts w:ascii="Arial" w:hAnsi="Arial" w:cs="Arial"/>
          <w:b/>
          <w:sz w:val="22"/>
          <w:szCs w:val="22"/>
        </w:rPr>
      </w:pPr>
      <w:r w:rsidRPr="00430DA8">
        <w:rPr>
          <w:rFonts w:ascii="Arial" w:hAnsi="Arial" w:cs="Arial"/>
          <w:b/>
          <w:sz w:val="22"/>
          <w:szCs w:val="22"/>
        </w:rPr>
        <w:t>PROJECT SUMMARY</w:t>
      </w:r>
    </w:p>
    <w:tbl>
      <w:tblPr>
        <w:tblStyle w:val="TableGrid1"/>
        <w:tblW w:w="9355" w:type="dxa"/>
        <w:tblLook w:val="04A0" w:firstRow="1" w:lastRow="0" w:firstColumn="1" w:lastColumn="0" w:noHBand="0" w:noVBand="1"/>
      </w:tblPr>
      <w:tblGrid>
        <w:gridCol w:w="4225"/>
        <w:gridCol w:w="5130"/>
      </w:tblGrid>
      <w:tr w:rsidR="00EA174D" w:rsidRPr="00430DA8" w14:paraId="3424CB71" w14:textId="77777777" w:rsidTr="00137BCE">
        <w:trPr>
          <w:trHeight w:val="360"/>
        </w:trPr>
        <w:tc>
          <w:tcPr>
            <w:tcW w:w="4225" w:type="dxa"/>
            <w:shd w:val="clear" w:color="auto" w:fill="1F3864" w:themeFill="accent1" w:themeFillShade="80"/>
            <w:vAlign w:val="center"/>
          </w:tcPr>
          <w:p w14:paraId="5754D10B" w14:textId="77777777" w:rsidR="00EA174D" w:rsidRPr="00430DA8" w:rsidRDefault="00EA174D"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Project</w:t>
            </w:r>
          </w:p>
        </w:tc>
        <w:tc>
          <w:tcPr>
            <w:tcW w:w="5130" w:type="dxa"/>
            <w:vAlign w:val="center"/>
          </w:tcPr>
          <w:p w14:paraId="6BE465DD" w14:textId="77777777" w:rsidR="00EA174D" w:rsidRPr="00430DA8" w:rsidRDefault="00EA174D" w:rsidP="00137BCE">
            <w:pPr>
              <w:rPr>
                <w:rFonts w:ascii="Arial" w:hAnsi="Arial" w:cs="Arial"/>
                <w:sz w:val="22"/>
                <w:szCs w:val="22"/>
              </w:rPr>
            </w:pPr>
          </w:p>
        </w:tc>
      </w:tr>
      <w:tr w:rsidR="00EA174D" w:rsidRPr="00430DA8" w14:paraId="39336FFC" w14:textId="77777777" w:rsidTr="00137BCE">
        <w:trPr>
          <w:trHeight w:val="360"/>
        </w:trPr>
        <w:tc>
          <w:tcPr>
            <w:tcW w:w="4225" w:type="dxa"/>
            <w:shd w:val="clear" w:color="auto" w:fill="1F3864" w:themeFill="accent1" w:themeFillShade="80"/>
            <w:vAlign w:val="center"/>
          </w:tcPr>
          <w:p w14:paraId="029D8725" w14:textId="77777777" w:rsidR="00EA174D" w:rsidRPr="00430DA8" w:rsidRDefault="00EA174D"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Locality (City or County)</w:t>
            </w:r>
          </w:p>
        </w:tc>
        <w:tc>
          <w:tcPr>
            <w:tcW w:w="5130" w:type="dxa"/>
            <w:vAlign w:val="center"/>
          </w:tcPr>
          <w:p w14:paraId="705648CA" w14:textId="77777777" w:rsidR="00EA174D" w:rsidRPr="00430DA8" w:rsidRDefault="00EA174D" w:rsidP="00137BCE">
            <w:pPr>
              <w:rPr>
                <w:rFonts w:ascii="Arial" w:hAnsi="Arial" w:cs="Arial"/>
                <w:sz w:val="22"/>
                <w:szCs w:val="22"/>
              </w:rPr>
            </w:pPr>
          </w:p>
        </w:tc>
      </w:tr>
      <w:tr w:rsidR="00EA174D" w:rsidRPr="00430DA8" w14:paraId="24689274" w14:textId="77777777" w:rsidTr="00137BCE">
        <w:trPr>
          <w:trHeight w:val="360"/>
        </w:trPr>
        <w:tc>
          <w:tcPr>
            <w:tcW w:w="4225" w:type="dxa"/>
            <w:shd w:val="clear" w:color="auto" w:fill="1F3864" w:themeFill="accent1" w:themeFillShade="80"/>
            <w:vAlign w:val="center"/>
          </w:tcPr>
          <w:p w14:paraId="055BF808" w14:textId="77777777" w:rsidR="00EA174D" w:rsidRPr="00430DA8" w:rsidRDefault="00EA174D"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Performance Reporting Period</w:t>
            </w:r>
          </w:p>
        </w:tc>
        <w:tc>
          <w:tcPr>
            <w:tcW w:w="5130" w:type="dxa"/>
            <w:vAlign w:val="center"/>
          </w:tcPr>
          <w:p w14:paraId="34470A72" w14:textId="77777777" w:rsidR="00EA174D" w:rsidRPr="00430DA8" w:rsidRDefault="00EA174D" w:rsidP="00137BCE">
            <w:pPr>
              <w:rPr>
                <w:rFonts w:ascii="Arial" w:hAnsi="Arial" w:cs="Arial"/>
                <w:sz w:val="22"/>
                <w:szCs w:val="22"/>
              </w:rPr>
            </w:pPr>
            <w:r w:rsidRPr="00430DA8">
              <w:rPr>
                <w:rFonts w:ascii="Arial" w:hAnsi="Arial" w:cs="Arial"/>
                <w:sz w:val="22"/>
                <w:szCs w:val="22"/>
              </w:rPr>
              <w:t>Through June 30, 20__</w:t>
            </w:r>
          </w:p>
        </w:tc>
      </w:tr>
      <w:tr w:rsidR="00EA174D" w:rsidRPr="00430DA8" w14:paraId="370ADD1D" w14:textId="77777777" w:rsidTr="00137BCE">
        <w:trPr>
          <w:trHeight w:val="360"/>
        </w:trPr>
        <w:tc>
          <w:tcPr>
            <w:tcW w:w="4225" w:type="dxa"/>
            <w:shd w:val="clear" w:color="auto" w:fill="1F3864" w:themeFill="accent1" w:themeFillShade="80"/>
            <w:vAlign w:val="center"/>
          </w:tcPr>
          <w:p w14:paraId="5AC73A37" w14:textId="77777777" w:rsidR="00EA174D" w:rsidRPr="00430DA8" w:rsidRDefault="00EA174D"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Performance Date</w:t>
            </w:r>
          </w:p>
        </w:tc>
        <w:tc>
          <w:tcPr>
            <w:tcW w:w="5130" w:type="dxa"/>
            <w:shd w:val="clear" w:color="auto" w:fill="auto"/>
            <w:vAlign w:val="center"/>
          </w:tcPr>
          <w:p w14:paraId="28113429" w14:textId="77777777" w:rsidR="00EA174D" w:rsidRPr="00430DA8" w:rsidRDefault="00EA174D" w:rsidP="00137BCE">
            <w:pPr>
              <w:rPr>
                <w:rFonts w:ascii="Arial" w:hAnsi="Arial" w:cs="Arial"/>
                <w:sz w:val="22"/>
                <w:szCs w:val="22"/>
              </w:rPr>
            </w:pPr>
            <w:r w:rsidRPr="00430DA8">
              <w:rPr>
                <w:rFonts w:ascii="Arial" w:hAnsi="Arial" w:cs="Arial"/>
                <w:sz w:val="22"/>
                <w:szCs w:val="22"/>
              </w:rPr>
              <w:t>June 30, 20__</w:t>
            </w:r>
          </w:p>
        </w:tc>
      </w:tr>
    </w:tbl>
    <w:p w14:paraId="36D181AB" w14:textId="4C00FA6B" w:rsidR="00EA174D" w:rsidRPr="00430DA8" w:rsidRDefault="00EA174D" w:rsidP="00EA174D">
      <w:pPr>
        <w:rPr>
          <w:rFonts w:ascii="Arial" w:hAnsi="Arial" w:cs="Arial"/>
          <w:i/>
          <w:iCs/>
        </w:rPr>
      </w:pPr>
      <w:r w:rsidRPr="00430DA8">
        <w:rPr>
          <w:rFonts w:ascii="Arial" w:hAnsi="Arial" w:cs="Arial"/>
          <w:i/>
          <w:iCs/>
          <w:sz w:val="16"/>
          <w:szCs w:val="16"/>
        </w:rPr>
        <w:t xml:space="preserve">Final performance for Data Center MOUs will be reported on VEDP's public incentive reporting website. Where possible, data will be reported in ranges or in aggregate.  </w:t>
      </w:r>
    </w:p>
    <w:p w14:paraId="1C7BDF0C" w14:textId="77777777" w:rsidR="00EA174D" w:rsidRPr="00430DA8" w:rsidRDefault="00EA174D" w:rsidP="00EA174D">
      <w:pPr>
        <w:rPr>
          <w:rFonts w:ascii="Arial" w:hAnsi="Arial" w:cs="Arial"/>
          <w:b/>
          <w:szCs w:val="24"/>
        </w:rPr>
      </w:pPr>
    </w:p>
    <w:p w14:paraId="1E6858B0" w14:textId="58F7260E" w:rsidR="00EA174D" w:rsidRPr="00430DA8" w:rsidRDefault="00EA174D" w:rsidP="00EA174D">
      <w:pPr>
        <w:rPr>
          <w:rFonts w:ascii="Arial" w:hAnsi="Arial" w:cs="Arial"/>
          <w:b/>
          <w:sz w:val="22"/>
          <w:szCs w:val="22"/>
        </w:rPr>
      </w:pPr>
      <w:r w:rsidRPr="00430DA8">
        <w:rPr>
          <w:rFonts w:ascii="Arial" w:hAnsi="Arial" w:cs="Arial"/>
          <w:b/>
          <w:sz w:val="22"/>
          <w:szCs w:val="22"/>
        </w:rPr>
        <w:t>PROJECT PERFORMANCE: CAPITAL INVESTMENT</w:t>
      </w:r>
    </w:p>
    <w:tbl>
      <w:tblPr>
        <w:tblStyle w:val="TableGrid1"/>
        <w:tblW w:w="9355" w:type="dxa"/>
        <w:tblLook w:val="04A0" w:firstRow="1" w:lastRow="0" w:firstColumn="1" w:lastColumn="0" w:noHBand="0" w:noVBand="1"/>
      </w:tblPr>
      <w:tblGrid>
        <w:gridCol w:w="4225"/>
        <w:gridCol w:w="1710"/>
        <w:gridCol w:w="1710"/>
        <w:gridCol w:w="1710"/>
      </w:tblGrid>
      <w:tr w:rsidR="00EA174D" w:rsidRPr="00430DA8" w14:paraId="363521BF" w14:textId="77777777" w:rsidTr="00137BCE">
        <w:trPr>
          <w:trHeight w:val="432"/>
        </w:trPr>
        <w:tc>
          <w:tcPr>
            <w:tcW w:w="4225" w:type="dxa"/>
            <w:shd w:val="clear" w:color="auto" w:fill="1F3864" w:themeFill="accent1" w:themeFillShade="80"/>
            <w:vAlign w:val="center"/>
          </w:tcPr>
          <w:p w14:paraId="241F0A11" w14:textId="77777777" w:rsidR="00EA174D" w:rsidRPr="00430DA8" w:rsidRDefault="00EA174D"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Performance Measurement</w:t>
            </w:r>
          </w:p>
        </w:tc>
        <w:tc>
          <w:tcPr>
            <w:tcW w:w="1710" w:type="dxa"/>
            <w:shd w:val="clear" w:color="auto" w:fill="1F3864" w:themeFill="accent1" w:themeFillShade="80"/>
            <w:vAlign w:val="center"/>
          </w:tcPr>
          <w:p w14:paraId="55D1F582" w14:textId="77777777" w:rsidR="00EA174D" w:rsidRPr="00430DA8" w:rsidRDefault="00EA174D"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Target</w:t>
            </w:r>
          </w:p>
        </w:tc>
        <w:tc>
          <w:tcPr>
            <w:tcW w:w="1710" w:type="dxa"/>
            <w:shd w:val="clear" w:color="auto" w:fill="1F3864" w:themeFill="accent1" w:themeFillShade="80"/>
            <w:vAlign w:val="center"/>
          </w:tcPr>
          <w:p w14:paraId="72C45311" w14:textId="77777777" w:rsidR="00EA174D" w:rsidRPr="00430DA8" w:rsidRDefault="00EA174D"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As of _______</w:t>
            </w:r>
          </w:p>
        </w:tc>
        <w:tc>
          <w:tcPr>
            <w:tcW w:w="1710" w:type="dxa"/>
            <w:shd w:val="clear" w:color="auto" w:fill="1F3864" w:themeFill="accent1" w:themeFillShade="80"/>
            <w:vAlign w:val="center"/>
          </w:tcPr>
          <w:p w14:paraId="70B3A105" w14:textId="77777777" w:rsidR="00EA174D" w:rsidRPr="00430DA8" w:rsidRDefault="00EA174D"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 Complete</w:t>
            </w:r>
          </w:p>
        </w:tc>
      </w:tr>
      <w:tr w:rsidR="00EA174D" w:rsidRPr="00430DA8" w14:paraId="7914D40E" w14:textId="77777777" w:rsidTr="00137BCE">
        <w:trPr>
          <w:trHeight w:val="432"/>
        </w:trPr>
        <w:tc>
          <w:tcPr>
            <w:tcW w:w="4225" w:type="dxa"/>
            <w:vAlign w:val="center"/>
          </w:tcPr>
          <w:p w14:paraId="2F5C69A4" w14:textId="77777777" w:rsidR="00EA174D" w:rsidRPr="00430DA8" w:rsidRDefault="00EA174D" w:rsidP="00137BCE">
            <w:pPr>
              <w:rPr>
                <w:rFonts w:ascii="Arial" w:hAnsi="Arial" w:cs="Arial"/>
                <w:b/>
                <w:sz w:val="22"/>
                <w:szCs w:val="22"/>
              </w:rPr>
            </w:pPr>
            <w:r w:rsidRPr="00430DA8">
              <w:rPr>
                <w:rFonts w:ascii="Arial" w:hAnsi="Arial" w:cs="Arial"/>
                <w:b/>
                <w:sz w:val="22"/>
                <w:szCs w:val="22"/>
              </w:rPr>
              <w:t>Capital Investment</w:t>
            </w:r>
            <w:r w:rsidRPr="00430DA8">
              <w:rPr>
                <w:rFonts w:ascii="Arial" w:hAnsi="Arial" w:cs="Arial"/>
                <w:b/>
                <w:sz w:val="22"/>
                <w:szCs w:val="22"/>
                <w:vertAlign w:val="superscript"/>
              </w:rPr>
              <w:t>1</w:t>
            </w:r>
          </w:p>
        </w:tc>
        <w:tc>
          <w:tcPr>
            <w:tcW w:w="1710" w:type="dxa"/>
            <w:shd w:val="clear" w:color="auto" w:fill="FFFFFF" w:themeFill="background1"/>
            <w:vAlign w:val="center"/>
          </w:tcPr>
          <w:p w14:paraId="074D7679" w14:textId="77777777" w:rsidR="00EA174D" w:rsidRPr="00430DA8" w:rsidRDefault="00EA174D" w:rsidP="00137BCE">
            <w:pPr>
              <w:rPr>
                <w:rFonts w:ascii="Arial" w:hAnsi="Arial" w:cs="Arial"/>
                <w:sz w:val="22"/>
                <w:szCs w:val="22"/>
              </w:rPr>
            </w:pPr>
          </w:p>
        </w:tc>
        <w:tc>
          <w:tcPr>
            <w:tcW w:w="1710" w:type="dxa"/>
            <w:shd w:val="clear" w:color="auto" w:fill="FFFFFF" w:themeFill="background1"/>
            <w:vAlign w:val="center"/>
          </w:tcPr>
          <w:p w14:paraId="41C6B4C8" w14:textId="77777777" w:rsidR="00EA174D" w:rsidRPr="00430DA8" w:rsidRDefault="00EA174D" w:rsidP="00137BCE">
            <w:pPr>
              <w:rPr>
                <w:rFonts w:ascii="Arial" w:hAnsi="Arial" w:cs="Arial"/>
                <w:sz w:val="22"/>
                <w:szCs w:val="22"/>
              </w:rPr>
            </w:pPr>
          </w:p>
        </w:tc>
        <w:tc>
          <w:tcPr>
            <w:tcW w:w="1710" w:type="dxa"/>
            <w:shd w:val="clear" w:color="auto" w:fill="FFFFFF" w:themeFill="background1"/>
            <w:vAlign w:val="center"/>
          </w:tcPr>
          <w:p w14:paraId="7F1238AA" w14:textId="77777777" w:rsidR="00EA174D" w:rsidRPr="00430DA8" w:rsidRDefault="00EA174D" w:rsidP="00137BCE">
            <w:pPr>
              <w:jc w:val="right"/>
              <w:rPr>
                <w:rFonts w:ascii="Arial" w:hAnsi="Arial" w:cs="Arial"/>
                <w:sz w:val="22"/>
                <w:szCs w:val="22"/>
              </w:rPr>
            </w:pPr>
            <w:r w:rsidRPr="00430DA8">
              <w:rPr>
                <w:rFonts w:ascii="Arial" w:hAnsi="Arial" w:cs="Arial"/>
                <w:sz w:val="22"/>
                <w:szCs w:val="22"/>
              </w:rPr>
              <w:t>%</w:t>
            </w:r>
          </w:p>
        </w:tc>
      </w:tr>
    </w:tbl>
    <w:p w14:paraId="4B8D87DE" w14:textId="7B16EC0B" w:rsidR="00EA174D" w:rsidRPr="00430DA8" w:rsidRDefault="00EA174D" w:rsidP="00EA174D">
      <w:pPr>
        <w:jc w:val="both"/>
        <w:rPr>
          <w:rFonts w:ascii="Arial" w:hAnsi="Arial" w:cs="Arial"/>
          <w:sz w:val="16"/>
          <w:szCs w:val="16"/>
        </w:rPr>
      </w:pPr>
      <w:r w:rsidRPr="00430DA8">
        <w:rPr>
          <w:rFonts w:ascii="Arial" w:hAnsi="Arial" w:cs="Arial"/>
          <w:sz w:val="16"/>
          <w:szCs w:val="16"/>
          <w:vertAlign w:val="superscript"/>
        </w:rPr>
        <w:t>1</w:t>
      </w:r>
      <w:r w:rsidRPr="00430DA8">
        <w:rPr>
          <w:rFonts w:ascii="Arial" w:hAnsi="Arial" w:cs="Arial"/>
          <w:sz w:val="16"/>
          <w:szCs w:val="16"/>
        </w:rPr>
        <w:t xml:space="preserve"> Total cumulative capital investment made to the Data Center by the Group for the MOU, as of the Performance Date. Total should include any investments reported in previous Annual Reports. Data will be verified using records from the Commissioner of the Revenue and, if requested, invoices.</w:t>
      </w:r>
    </w:p>
    <w:p w14:paraId="0FA23D7F" w14:textId="77777777" w:rsidR="00EA174D" w:rsidRPr="00430DA8" w:rsidRDefault="00EA174D" w:rsidP="00EA174D">
      <w:pPr>
        <w:ind w:left="90" w:hanging="90"/>
        <w:jc w:val="both"/>
        <w:rPr>
          <w:rFonts w:ascii="Arial" w:hAnsi="Arial" w:cs="Arial"/>
          <w:sz w:val="16"/>
          <w:szCs w:val="16"/>
        </w:rPr>
      </w:pPr>
    </w:p>
    <w:tbl>
      <w:tblPr>
        <w:tblStyle w:val="TableGrid"/>
        <w:tblW w:w="9360" w:type="dxa"/>
        <w:tblInd w:w="-5" w:type="dxa"/>
        <w:tblLook w:val="04A0" w:firstRow="1" w:lastRow="0" w:firstColumn="1" w:lastColumn="0" w:noHBand="0" w:noVBand="1"/>
      </w:tblPr>
      <w:tblGrid>
        <w:gridCol w:w="4230"/>
        <w:gridCol w:w="5130"/>
      </w:tblGrid>
      <w:tr w:rsidR="00EA174D" w:rsidRPr="00430DA8" w14:paraId="5360592E" w14:textId="77777777" w:rsidTr="00137BCE">
        <w:trPr>
          <w:trHeight w:val="432"/>
        </w:trPr>
        <w:tc>
          <w:tcPr>
            <w:tcW w:w="4230" w:type="dxa"/>
            <w:shd w:val="clear" w:color="auto" w:fill="1F3864" w:themeFill="accent1" w:themeFillShade="80"/>
            <w:vAlign w:val="center"/>
          </w:tcPr>
          <w:p w14:paraId="5E1DEF8D" w14:textId="77777777" w:rsidR="00EA174D" w:rsidRPr="00430DA8" w:rsidRDefault="00EA174D"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Capital Investment Breakdown</w:t>
            </w:r>
            <w:r w:rsidRPr="00430DA8">
              <w:rPr>
                <w:rFonts w:ascii="Arial" w:hAnsi="Arial" w:cs="Arial"/>
                <w:b/>
                <w:color w:val="FFFFFF" w:themeColor="background1"/>
                <w:sz w:val="22"/>
                <w:szCs w:val="22"/>
                <w:vertAlign w:val="superscript"/>
              </w:rPr>
              <w:t>2</w:t>
            </w:r>
          </w:p>
        </w:tc>
        <w:tc>
          <w:tcPr>
            <w:tcW w:w="5130" w:type="dxa"/>
            <w:shd w:val="clear" w:color="auto" w:fill="1F3864" w:themeFill="accent1" w:themeFillShade="80"/>
            <w:vAlign w:val="center"/>
          </w:tcPr>
          <w:p w14:paraId="3D7BD9D3" w14:textId="77777777" w:rsidR="00EA174D" w:rsidRPr="00430DA8" w:rsidRDefault="00EA174D"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Amount</w:t>
            </w:r>
          </w:p>
        </w:tc>
      </w:tr>
      <w:tr w:rsidR="00EA174D" w:rsidRPr="00430DA8" w14:paraId="7CF40EB0" w14:textId="77777777" w:rsidTr="00137BCE">
        <w:trPr>
          <w:trHeight w:val="360"/>
        </w:trPr>
        <w:tc>
          <w:tcPr>
            <w:tcW w:w="4230" w:type="dxa"/>
            <w:vAlign w:val="center"/>
          </w:tcPr>
          <w:p w14:paraId="324A1846" w14:textId="77777777" w:rsidR="00EA174D" w:rsidRPr="00430DA8" w:rsidRDefault="00EA174D" w:rsidP="00137BCE">
            <w:pPr>
              <w:rPr>
                <w:rFonts w:ascii="Arial" w:hAnsi="Arial" w:cs="Arial"/>
                <w:sz w:val="22"/>
                <w:szCs w:val="22"/>
              </w:rPr>
            </w:pPr>
            <w:r w:rsidRPr="00430DA8">
              <w:rPr>
                <w:rFonts w:ascii="Arial" w:hAnsi="Arial" w:cs="Arial"/>
                <w:sz w:val="22"/>
                <w:szCs w:val="22"/>
              </w:rPr>
              <w:t>Land/Building Acquisition</w:t>
            </w:r>
          </w:p>
        </w:tc>
        <w:tc>
          <w:tcPr>
            <w:tcW w:w="5130" w:type="dxa"/>
            <w:vAlign w:val="center"/>
          </w:tcPr>
          <w:p w14:paraId="5F91F1BF" w14:textId="77777777" w:rsidR="00EA174D" w:rsidRPr="00430DA8" w:rsidRDefault="00EA174D" w:rsidP="00137BCE">
            <w:pPr>
              <w:rPr>
                <w:rFonts w:ascii="Arial" w:hAnsi="Arial" w:cs="Arial"/>
                <w:sz w:val="22"/>
                <w:szCs w:val="22"/>
              </w:rPr>
            </w:pPr>
          </w:p>
        </w:tc>
      </w:tr>
      <w:tr w:rsidR="00EA174D" w:rsidRPr="00430DA8" w14:paraId="3A4EF184" w14:textId="77777777" w:rsidTr="00137BCE">
        <w:trPr>
          <w:trHeight w:val="360"/>
        </w:trPr>
        <w:tc>
          <w:tcPr>
            <w:tcW w:w="4230" w:type="dxa"/>
            <w:vAlign w:val="center"/>
          </w:tcPr>
          <w:p w14:paraId="39E48221" w14:textId="77777777" w:rsidR="00EA174D" w:rsidRPr="00430DA8" w:rsidRDefault="00EA174D" w:rsidP="00137BCE">
            <w:pPr>
              <w:rPr>
                <w:rFonts w:ascii="Arial" w:hAnsi="Arial" w:cs="Arial"/>
                <w:sz w:val="22"/>
                <w:szCs w:val="22"/>
              </w:rPr>
            </w:pPr>
            <w:r w:rsidRPr="00430DA8">
              <w:rPr>
                <w:rFonts w:ascii="Arial" w:hAnsi="Arial" w:cs="Arial"/>
                <w:sz w:val="22"/>
                <w:szCs w:val="22"/>
              </w:rPr>
              <w:t>Site Improvements</w:t>
            </w:r>
          </w:p>
        </w:tc>
        <w:tc>
          <w:tcPr>
            <w:tcW w:w="5130" w:type="dxa"/>
            <w:vAlign w:val="center"/>
          </w:tcPr>
          <w:p w14:paraId="0E610023" w14:textId="77777777" w:rsidR="00EA174D" w:rsidRPr="00430DA8" w:rsidRDefault="00EA174D" w:rsidP="00137BCE">
            <w:pPr>
              <w:rPr>
                <w:rFonts w:ascii="Arial" w:hAnsi="Arial" w:cs="Arial"/>
                <w:sz w:val="22"/>
                <w:szCs w:val="22"/>
              </w:rPr>
            </w:pPr>
          </w:p>
        </w:tc>
      </w:tr>
      <w:tr w:rsidR="00EA174D" w:rsidRPr="00430DA8" w14:paraId="73A26CBB" w14:textId="77777777" w:rsidTr="00137BCE">
        <w:trPr>
          <w:trHeight w:val="360"/>
        </w:trPr>
        <w:tc>
          <w:tcPr>
            <w:tcW w:w="4230" w:type="dxa"/>
            <w:vAlign w:val="center"/>
          </w:tcPr>
          <w:p w14:paraId="019434A4" w14:textId="77777777" w:rsidR="00EA174D" w:rsidRPr="00430DA8" w:rsidRDefault="00EA174D" w:rsidP="00137BCE">
            <w:pPr>
              <w:rPr>
                <w:rFonts w:ascii="Arial" w:hAnsi="Arial" w:cs="Arial"/>
                <w:sz w:val="22"/>
                <w:szCs w:val="22"/>
              </w:rPr>
            </w:pPr>
            <w:r w:rsidRPr="00430DA8">
              <w:rPr>
                <w:rFonts w:ascii="Arial" w:hAnsi="Arial" w:cs="Arial"/>
                <w:sz w:val="22"/>
                <w:szCs w:val="22"/>
              </w:rPr>
              <w:t>Real Property/Building Improvements</w:t>
            </w:r>
          </w:p>
        </w:tc>
        <w:tc>
          <w:tcPr>
            <w:tcW w:w="5130" w:type="dxa"/>
            <w:vAlign w:val="center"/>
          </w:tcPr>
          <w:p w14:paraId="2DB42955" w14:textId="77777777" w:rsidR="00EA174D" w:rsidRPr="00430DA8" w:rsidRDefault="00EA174D" w:rsidP="00137BCE">
            <w:pPr>
              <w:rPr>
                <w:rFonts w:ascii="Arial" w:hAnsi="Arial" w:cs="Arial"/>
                <w:sz w:val="22"/>
                <w:szCs w:val="22"/>
              </w:rPr>
            </w:pPr>
          </w:p>
        </w:tc>
      </w:tr>
      <w:tr w:rsidR="00EA174D" w:rsidRPr="00430DA8" w14:paraId="2D44ABCB" w14:textId="77777777" w:rsidTr="00137BCE">
        <w:trPr>
          <w:trHeight w:val="360"/>
        </w:trPr>
        <w:tc>
          <w:tcPr>
            <w:tcW w:w="4230" w:type="dxa"/>
            <w:vAlign w:val="center"/>
          </w:tcPr>
          <w:p w14:paraId="393238E2" w14:textId="77777777" w:rsidR="00EA174D" w:rsidRPr="00430DA8" w:rsidRDefault="00EA174D" w:rsidP="00137BCE">
            <w:pPr>
              <w:rPr>
                <w:rFonts w:ascii="Arial" w:hAnsi="Arial" w:cs="Arial"/>
                <w:sz w:val="22"/>
                <w:szCs w:val="22"/>
              </w:rPr>
            </w:pPr>
            <w:r w:rsidRPr="00430DA8">
              <w:rPr>
                <w:rFonts w:ascii="Arial" w:hAnsi="Arial" w:cs="Arial"/>
                <w:sz w:val="22"/>
                <w:szCs w:val="22"/>
              </w:rPr>
              <w:t>Taxable Tangible Property</w:t>
            </w:r>
          </w:p>
        </w:tc>
        <w:tc>
          <w:tcPr>
            <w:tcW w:w="5130" w:type="dxa"/>
            <w:vAlign w:val="center"/>
          </w:tcPr>
          <w:p w14:paraId="56BD0A65" w14:textId="77777777" w:rsidR="00EA174D" w:rsidRPr="00430DA8" w:rsidRDefault="00EA174D" w:rsidP="00137BCE">
            <w:pPr>
              <w:rPr>
                <w:rFonts w:ascii="Arial" w:hAnsi="Arial" w:cs="Arial"/>
                <w:sz w:val="22"/>
                <w:szCs w:val="22"/>
              </w:rPr>
            </w:pPr>
          </w:p>
        </w:tc>
      </w:tr>
      <w:tr w:rsidR="00EA174D" w:rsidRPr="00430DA8" w14:paraId="263A0826" w14:textId="77777777" w:rsidTr="00137BCE">
        <w:trPr>
          <w:trHeight w:val="360"/>
        </w:trPr>
        <w:tc>
          <w:tcPr>
            <w:tcW w:w="4230" w:type="dxa"/>
            <w:vAlign w:val="center"/>
          </w:tcPr>
          <w:p w14:paraId="3E7F6230" w14:textId="77777777" w:rsidR="00EA174D" w:rsidRPr="00430DA8" w:rsidRDefault="00EA174D" w:rsidP="00137BCE">
            <w:pPr>
              <w:rPr>
                <w:rFonts w:ascii="Arial" w:hAnsi="Arial" w:cs="Arial"/>
                <w:sz w:val="22"/>
                <w:szCs w:val="22"/>
              </w:rPr>
            </w:pPr>
            <w:r w:rsidRPr="00430DA8">
              <w:rPr>
                <w:rFonts w:ascii="Arial" w:hAnsi="Arial" w:cs="Arial"/>
                <w:sz w:val="22"/>
                <w:szCs w:val="22"/>
              </w:rPr>
              <w:t>Exempt Equipment or Software</w:t>
            </w:r>
            <w:r w:rsidRPr="00430DA8">
              <w:rPr>
                <w:rFonts w:ascii="Arial" w:hAnsi="Arial" w:cs="Arial"/>
                <w:sz w:val="22"/>
                <w:szCs w:val="22"/>
                <w:vertAlign w:val="superscript"/>
              </w:rPr>
              <w:t>3</w:t>
            </w:r>
          </w:p>
        </w:tc>
        <w:tc>
          <w:tcPr>
            <w:tcW w:w="5130" w:type="dxa"/>
            <w:vAlign w:val="center"/>
          </w:tcPr>
          <w:p w14:paraId="37E6A44E" w14:textId="77777777" w:rsidR="00EA174D" w:rsidRPr="00430DA8" w:rsidRDefault="00EA174D" w:rsidP="00137BCE">
            <w:pPr>
              <w:rPr>
                <w:rFonts w:ascii="Arial" w:hAnsi="Arial" w:cs="Arial"/>
                <w:sz w:val="22"/>
                <w:szCs w:val="22"/>
              </w:rPr>
            </w:pPr>
          </w:p>
        </w:tc>
      </w:tr>
      <w:tr w:rsidR="00EA174D" w:rsidRPr="00430DA8" w14:paraId="2E55DEDE" w14:textId="77777777" w:rsidTr="00137BCE">
        <w:trPr>
          <w:trHeight w:val="360"/>
        </w:trPr>
        <w:tc>
          <w:tcPr>
            <w:tcW w:w="4230" w:type="dxa"/>
            <w:vAlign w:val="center"/>
          </w:tcPr>
          <w:p w14:paraId="1B575C0B" w14:textId="77777777" w:rsidR="00EA174D" w:rsidRPr="00430DA8" w:rsidRDefault="00EA174D" w:rsidP="00137BCE">
            <w:pPr>
              <w:rPr>
                <w:rFonts w:ascii="Arial" w:hAnsi="Arial" w:cs="Arial"/>
                <w:sz w:val="22"/>
                <w:szCs w:val="22"/>
              </w:rPr>
            </w:pPr>
            <w:r w:rsidRPr="00430DA8">
              <w:rPr>
                <w:rFonts w:ascii="Arial" w:hAnsi="Arial" w:cs="Arial"/>
                <w:sz w:val="22"/>
                <w:szCs w:val="22"/>
              </w:rPr>
              <w:t>Other</w:t>
            </w:r>
          </w:p>
        </w:tc>
        <w:tc>
          <w:tcPr>
            <w:tcW w:w="5130" w:type="dxa"/>
            <w:vAlign w:val="center"/>
          </w:tcPr>
          <w:p w14:paraId="0172DB5B" w14:textId="77777777" w:rsidR="00EA174D" w:rsidRPr="00430DA8" w:rsidRDefault="00EA174D" w:rsidP="00137BCE">
            <w:pPr>
              <w:rPr>
                <w:rFonts w:ascii="Arial" w:hAnsi="Arial" w:cs="Arial"/>
                <w:sz w:val="22"/>
                <w:szCs w:val="22"/>
              </w:rPr>
            </w:pPr>
          </w:p>
        </w:tc>
      </w:tr>
      <w:tr w:rsidR="00EA174D" w:rsidRPr="00430DA8" w14:paraId="514A1961" w14:textId="77777777" w:rsidTr="00137BCE">
        <w:trPr>
          <w:trHeight w:val="360"/>
        </w:trPr>
        <w:tc>
          <w:tcPr>
            <w:tcW w:w="4230" w:type="dxa"/>
            <w:shd w:val="clear" w:color="auto" w:fill="1F3864" w:themeFill="accent1" w:themeFillShade="80"/>
            <w:vAlign w:val="center"/>
          </w:tcPr>
          <w:p w14:paraId="2F53B5F4" w14:textId="77777777" w:rsidR="00EA174D" w:rsidRPr="00430DA8" w:rsidRDefault="00EA174D" w:rsidP="00137BCE">
            <w:pPr>
              <w:rPr>
                <w:rFonts w:ascii="Arial" w:hAnsi="Arial" w:cs="Arial"/>
                <w:b/>
                <w:sz w:val="22"/>
                <w:szCs w:val="22"/>
              </w:rPr>
            </w:pPr>
            <w:r w:rsidRPr="00430DA8">
              <w:rPr>
                <w:rFonts w:ascii="Arial" w:hAnsi="Arial" w:cs="Arial"/>
                <w:b/>
                <w:color w:val="FFFFFF" w:themeColor="background1"/>
                <w:sz w:val="22"/>
                <w:szCs w:val="22"/>
              </w:rPr>
              <w:t>Total Capital Investment for Period</w:t>
            </w:r>
          </w:p>
        </w:tc>
        <w:tc>
          <w:tcPr>
            <w:tcW w:w="5130" w:type="dxa"/>
            <w:vAlign w:val="center"/>
          </w:tcPr>
          <w:p w14:paraId="397825AC" w14:textId="77777777" w:rsidR="00EA174D" w:rsidRPr="00430DA8" w:rsidRDefault="00EA174D" w:rsidP="00137BCE">
            <w:pPr>
              <w:rPr>
                <w:rFonts w:ascii="Arial" w:hAnsi="Arial" w:cs="Arial"/>
                <w:b/>
                <w:sz w:val="22"/>
                <w:szCs w:val="22"/>
              </w:rPr>
            </w:pPr>
            <w:r w:rsidRPr="00430DA8">
              <w:rPr>
                <w:rFonts w:ascii="Arial" w:hAnsi="Arial" w:cs="Arial"/>
                <w:b/>
                <w:sz w:val="22"/>
                <w:szCs w:val="22"/>
              </w:rPr>
              <w:t xml:space="preserve">$                        </w:t>
            </w:r>
          </w:p>
        </w:tc>
      </w:tr>
    </w:tbl>
    <w:p w14:paraId="22BC70F6" w14:textId="396A6858" w:rsidR="00EA174D" w:rsidRPr="00430DA8" w:rsidRDefault="00EA174D" w:rsidP="00EA174D">
      <w:pPr>
        <w:ind w:left="90" w:hanging="90"/>
        <w:jc w:val="both"/>
        <w:rPr>
          <w:rFonts w:ascii="Arial" w:hAnsi="Arial" w:cs="Arial"/>
          <w:sz w:val="16"/>
          <w:szCs w:val="16"/>
        </w:rPr>
      </w:pPr>
      <w:r w:rsidRPr="00430DA8">
        <w:rPr>
          <w:rFonts w:ascii="Arial" w:hAnsi="Arial" w:cs="Arial"/>
          <w:sz w:val="16"/>
          <w:szCs w:val="16"/>
          <w:vertAlign w:val="superscript"/>
        </w:rPr>
        <w:t>2</w:t>
      </w:r>
      <w:r w:rsidRPr="00430DA8">
        <w:rPr>
          <w:rFonts w:ascii="Arial" w:hAnsi="Arial" w:cs="Arial"/>
          <w:sz w:val="16"/>
          <w:szCs w:val="16"/>
        </w:rPr>
        <w:t xml:space="preserve"> Total cumulative capital investments made in each category by the Group for the MOU, as of the </w:t>
      </w:r>
      <w:r w:rsidR="00FB0E29" w:rsidRPr="00430DA8">
        <w:rPr>
          <w:rFonts w:ascii="Arial" w:hAnsi="Arial" w:cs="Arial"/>
          <w:sz w:val="16"/>
          <w:szCs w:val="16"/>
        </w:rPr>
        <w:t>Performance</w:t>
      </w:r>
      <w:r w:rsidRPr="00430DA8">
        <w:rPr>
          <w:rFonts w:ascii="Arial" w:hAnsi="Arial" w:cs="Arial"/>
          <w:sz w:val="16"/>
          <w:szCs w:val="16"/>
        </w:rPr>
        <w:t xml:space="preserve"> Date. Totals should include all investments in each category reported in previous Annual Reports. If the Group did not invest in a particular category, please enter $0. </w:t>
      </w:r>
    </w:p>
    <w:p w14:paraId="32465539" w14:textId="0A7918D3" w:rsidR="00EA174D" w:rsidRPr="00430DA8" w:rsidRDefault="00EA174D" w:rsidP="00EA174D">
      <w:pPr>
        <w:ind w:left="90" w:hanging="90"/>
        <w:jc w:val="both"/>
        <w:rPr>
          <w:rFonts w:ascii="Arial" w:hAnsi="Arial" w:cs="Arial"/>
          <w:sz w:val="16"/>
          <w:szCs w:val="16"/>
        </w:rPr>
      </w:pPr>
      <w:r w:rsidRPr="00430DA8">
        <w:rPr>
          <w:rFonts w:ascii="Arial" w:hAnsi="Arial" w:cs="Arial"/>
          <w:sz w:val="16"/>
          <w:szCs w:val="16"/>
          <w:vertAlign w:val="superscript"/>
        </w:rPr>
        <w:t>3</w:t>
      </w:r>
      <w:r w:rsidRPr="00430DA8">
        <w:rPr>
          <w:rFonts w:ascii="Arial" w:hAnsi="Arial" w:cs="Arial"/>
          <w:sz w:val="16"/>
          <w:szCs w:val="16"/>
        </w:rPr>
        <w:t xml:space="preserve"> The Commissioner of the Virginia Department of Taxation (TAX) has approved a list of equipment and software that qualifies for the DCRSUTE Exemption. The complete list of </w:t>
      </w:r>
      <w:r w:rsidR="00CB1A51">
        <w:rPr>
          <w:rFonts w:ascii="Arial" w:hAnsi="Arial" w:cs="Arial"/>
          <w:sz w:val="16"/>
          <w:szCs w:val="16"/>
        </w:rPr>
        <w:t>qualified</w:t>
      </w:r>
      <w:r w:rsidRPr="00430DA8">
        <w:rPr>
          <w:rFonts w:ascii="Arial" w:hAnsi="Arial" w:cs="Arial"/>
          <w:sz w:val="16"/>
          <w:szCs w:val="16"/>
        </w:rPr>
        <w:t xml:space="preserve"> equipment can be found on page 2 of the DCRSUT Exemption Information Packet. </w:t>
      </w:r>
    </w:p>
    <w:p w14:paraId="4F404CF7" w14:textId="77777777" w:rsidR="00EA174D" w:rsidRPr="00430DA8" w:rsidRDefault="00EA174D" w:rsidP="00EA174D">
      <w:pPr>
        <w:rPr>
          <w:rFonts w:ascii="Arial" w:hAnsi="Arial" w:cs="Arial"/>
          <w:b/>
          <w:szCs w:val="24"/>
        </w:rPr>
      </w:pPr>
    </w:p>
    <w:tbl>
      <w:tblPr>
        <w:tblStyle w:val="TableGrid"/>
        <w:tblW w:w="9360" w:type="dxa"/>
        <w:tblInd w:w="-5" w:type="dxa"/>
        <w:tblLook w:val="04A0" w:firstRow="1" w:lastRow="0" w:firstColumn="1" w:lastColumn="0" w:noHBand="0" w:noVBand="1"/>
      </w:tblPr>
      <w:tblGrid>
        <w:gridCol w:w="4230"/>
        <w:gridCol w:w="5130"/>
      </w:tblGrid>
      <w:tr w:rsidR="00EA174D" w:rsidRPr="00430DA8" w14:paraId="41AAFB69" w14:textId="77777777" w:rsidTr="00137BCE">
        <w:trPr>
          <w:trHeight w:val="720"/>
        </w:trPr>
        <w:tc>
          <w:tcPr>
            <w:tcW w:w="4230" w:type="dxa"/>
            <w:shd w:val="clear" w:color="auto" w:fill="1F3864" w:themeFill="accent1" w:themeFillShade="80"/>
            <w:vAlign w:val="center"/>
          </w:tcPr>
          <w:p w14:paraId="70D570BA" w14:textId="77777777" w:rsidR="00EA174D" w:rsidRPr="00430DA8" w:rsidRDefault="00EA174D"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Cumulative Tax Benefit Received by Group during Reporting Period</w:t>
            </w:r>
          </w:p>
        </w:tc>
        <w:tc>
          <w:tcPr>
            <w:tcW w:w="5130" w:type="dxa"/>
            <w:vAlign w:val="center"/>
          </w:tcPr>
          <w:p w14:paraId="475276F9" w14:textId="77777777" w:rsidR="00EA174D" w:rsidRPr="00430DA8" w:rsidRDefault="00EA174D" w:rsidP="00137BCE">
            <w:pPr>
              <w:rPr>
                <w:rFonts w:ascii="Arial" w:hAnsi="Arial" w:cs="Arial"/>
                <w:b/>
                <w:szCs w:val="24"/>
              </w:rPr>
            </w:pPr>
            <w:r w:rsidRPr="00430DA8">
              <w:rPr>
                <w:rFonts w:ascii="Arial" w:hAnsi="Arial" w:cs="Arial"/>
                <w:b/>
                <w:szCs w:val="24"/>
              </w:rPr>
              <w:t>$</w:t>
            </w:r>
          </w:p>
        </w:tc>
      </w:tr>
    </w:tbl>
    <w:p w14:paraId="577BB386" w14:textId="77777777" w:rsidR="00EA174D" w:rsidRPr="00430DA8" w:rsidRDefault="00EA174D" w:rsidP="00EA174D">
      <w:pPr>
        <w:rPr>
          <w:rFonts w:ascii="Arial" w:hAnsi="Arial" w:cs="Arial"/>
          <w:b/>
          <w:szCs w:val="24"/>
        </w:rPr>
      </w:pPr>
    </w:p>
    <w:p w14:paraId="50A31009" w14:textId="77777777" w:rsidR="00105680" w:rsidRPr="00430DA8" w:rsidRDefault="00105680">
      <w:pPr>
        <w:spacing w:after="160" w:line="259" w:lineRule="auto"/>
        <w:rPr>
          <w:rFonts w:ascii="Arial" w:hAnsi="Arial" w:cs="Arial"/>
          <w:b/>
          <w:sz w:val="22"/>
          <w:szCs w:val="22"/>
        </w:rPr>
      </w:pPr>
      <w:r w:rsidRPr="00430DA8">
        <w:rPr>
          <w:rFonts w:ascii="Arial" w:hAnsi="Arial" w:cs="Arial"/>
          <w:b/>
          <w:sz w:val="22"/>
          <w:szCs w:val="22"/>
        </w:rPr>
        <w:br w:type="page"/>
      </w:r>
    </w:p>
    <w:p w14:paraId="3FA3075A" w14:textId="41D2D786" w:rsidR="00EA174D" w:rsidRPr="00430DA8" w:rsidRDefault="00EA174D" w:rsidP="00EA174D">
      <w:pPr>
        <w:rPr>
          <w:rFonts w:ascii="Arial" w:hAnsi="Arial" w:cs="Arial"/>
          <w:b/>
          <w:sz w:val="22"/>
          <w:szCs w:val="22"/>
        </w:rPr>
      </w:pPr>
      <w:r w:rsidRPr="00430DA8">
        <w:rPr>
          <w:rFonts w:ascii="Arial" w:hAnsi="Arial" w:cs="Arial"/>
          <w:b/>
          <w:sz w:val="22"/>
          <w:szCs w:val="22"/>
        </w:rPr>
        <w:lastRenderedPageBreak/>
        <w:t>PROJECT PERFORMANCE: JOB CREATION</w:t>
      </w:r>
    </w:p>
    <w:tbl>
      <w:tblPr>
        <w:tblStyle w:val="TableGrid1"/>
        <w:tblW w:w="9355" w:type="dxa"/>
        <w:tblLook w:val="04A0" w:firstRow="1" w:lastRow="0" w:firstColumn="1" w:lastColumn="0" w:noHBand="0" w:noVBand="1"/>
      </w:tblPr>
      <w:tblGrid>
        <w:gridCol w:w="4225"/>
        <w:gridCol w:w="1710"/>
        <w:gridCol w:w="1710"/>
        <w:gridCol w:w="1710"/>
      </w:tblGrid>
      <w:tr w:rsidR="00EA174D" w:rsidRPr="00430DA8" w14:paraId="56458AC2" w14:textId="77777777" w:rsidTr="00137BCE">
        <w:trPr>
          <w:trHeight w:val="432"/>
        </w:trPr>
        <w:tc>
          <w:tcPr>
            <w:tcW w:w="4225" w:type="dxa"/>
            <w:shd w:val="clear" w:color="auto" w:fill="1F3864" w:themeFill="accent1" w:themeFillShade="80"/>
            <w:vAlign w:val="center"/>
          </w:tcPr>
          <w:p w14:paraId="6C5DE235" w14:textId="77777777" w:rsidR="00EA174D" w:rsidRPr="00430DA8" w:rsidRDefault="00EA174D"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Performance Measurement</w:t>
            </w:r>
          </w:p>
        </w:tc>
        <w:tc>
          <w:tcPr>
            <w:tcW w:w="1710" w:type="dxa"/>
            <w:shd w:val="clear" w:color="auto" w:fill="1F3864" w:themeFill="accent1" w:themeFillShade="80"/>
            <w:vAlign w:val="center"/>
          </w:tcPr>
          <w:p w14:paraId="68BBF546" w14:textId="77777777" w:rsidR="00EA174D" w:rsidRPr="00430DA8" w:rsidRDefault="00EA174D"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Target</w:t>
            </w:r>
          </w:p>
        </w:tc>
        <w:tc>
          <w:tcPr>
            <w:tcW w:w="1710" w:type="dxa"/>
            <w:shd w:val="clear" w:color="auto" w:fill="1F3864" w:themeFill="accent1" w:themeFillShade="80"/>
            <w:vAlign w:val="center"/>
          </w:tcPr>
          <w:p w14:paraId="0DBD7F89" w14:textId="77777777" w:rsidR="00EA174D" w:rsidRPr="00430DA8" w:rsidRDefault="00EA174D"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As of _______</w:t>
            </w:r>
          </w:p>
        </w:tc>
        <w:tc>
          <w:tcPr>
            <w:tcW w:w="1710" w:type="dxa"/>
            <w:shd w:val="clear" w:color="auto" w:fill="1F3864" w:themeFill="accent1" w:themeFillShade="80"/>
            <w:vAlign w:val="center"/>
          </w:tcPr>
          <w:p w14:paraId="39D25CF9" w14:textId="77777777" w:rsidR="00EA174D" w:rsidRPr="00430DA8" w:rsidRDefault="00EA174D"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 Complete</w:t>
            </w:r>
          </w:p>
        </w:tc>
      </w:tr>
      <w:tr w:rsidR="00EA174D" w:rsidRPr="00430DA8" w14:paraId="3C4BA9C6" w14:textId="77777777" w:rsidTr="00137BCE">
        <w:trPr>
          <w:trHeight w:val="432"/>
        </w:trPr>
        <w:tc>
          <w:tcPr>
            <w:tcW w:w="4225" w:type="dxa"/>
            <w:vAlign w:val="center"/>
          </w:tcPr>
          <w:p w14:paraId="44E90733" w14:textId="77777777" w:rsidR="00EA174D" w:rsidRPr="00430DA8" w:rsidRDefault="00EA174D" w:rsidP="00137BCE">
            <w:pPr>
              <w:rPr>
                <w:rFonts w:ascii="Arial" w:hAnsi="Arial" w:cs="Arial"/>
                <w:b/>
                <w:sz w:val="22"/>
                <w:szCs w:val="22"/>
              </w:rPr>
            </w:pPr>
            <w:r w:rsidRPr="00430DA8">
              <w:rPr>
                <w:rFonts w:ascii="Arial" w:hAnsi="Arial" w:cs="Arial"/>
                <w:b/>
                <w:sz w:val="22"/>
                <w:szCs w:val="22"/>
              </w:rPr>
              <w:t>Qualifying New Jobs</w:t>
            </w:r>
            <w:r w:rsidRPr="00430DA8">
              <w:rPr>
                <w:rFonts w:ascii="Arial" w:hAnsi="Arial" w:cs="Arial"/>
                <w:b/>
                <w:sz w:val="22"/>
                <w:szCs w:val="22"/>
                <w:vertAlign w:val="superscript"/>
              </w:rPr>
              <w:t>4</w:t>
            </w:r>
            <w:r w:rsidRPr="00430DA8">
              <w:rPr>
                <w:rFonts w:ascii="Arial" w:hAnsi="Arial" w:cs="Arial"/>
                <w:b/>
                <w:sz w:val="22"/>
                <w:szCs w:val="22"/>
              </w:rPr>
              <w:t xml:space="preserve"> </w:t>
            </w:r>
          </w:p>
        </w:tc>
        <w:tc>
          <w:tcPr>
            <w:tcW w:w="1710" w:type="dxa"/>
            <w:shd w:val="clear" w:color="auto" w:fill="FFFFFF" w:themeFill="background1"/>
            <w:vAlign w:val="center"/>
          </w:tcPr>
          <w:p w14:paraId="3AC5F762" w14:textId="77777777" w:rsidR="00EA174D" w:rsidRPr="00430DA8" w:rsidRDefault="00EA174D" w:rsidP="00137BCE">
            <w:pPr>
              <w:rPr>
                <w:rFonts w:ascii="Arial" w:hAnsi="Arial" w:cs="Arial"/>
                <w:sz w:val="22"/>
                <w:szCs w:val="22"/>
              </w:rPr>
            </w:pPr>
          </w:p>
        </w:tc>
        <w:tc>
          <w:tcPr>
            <w:tcW w:w="1710" w:type="dxa"/>
            <w:shd w:val="clear" w:color="auto" w:fill="FFFFFF" w:themeFill="background1"/>
            <w:vAlign w:val="center"/>
          </w:tcPr>
          <w:p w14:paraId="57B04BDB" w14:textId="77777777" w:rsidR="00EA174D" w:rsidRPr="00430DA8" w:rsidRDefault="00EA174D" w:rsidP="00137BCE">
            <w:pPr>
              <w:rPr>
                <w:rFonts w:ascii="Arial" w:hAnsi="Arial" w:cs="Arial"/>
                <w:sz w:val="22"/>
                <w:szCs w:val="22"/>
              </w:rPr>
            </w:pPr>
          </w:p>
        </w:tc>
        <w:tc>
          <w:tcPr>
            <w:tcW w:w="1710" w:type="dxa"/>
            <w:shd w:val="clear" w:color="auto" w:fill="FFFFFF" w:themeFill="background1"/>
            <w:vAlign w:val="center"/>
          </w:tcPr>
          <w:p w14:paraId="215B07EC" w14:textId="77777777" w:rsidR="00EA174D" w:rsidRPr="00430DA8" w:rsidRDefault="00EA174D" w:rsidP="00137BCE">
            <w:pPr>
              <w:jc w:val="right"/>
              <w:rPr>
                <w:rFonts w:ascii="Arial" w:hAnsi="Arial" w:cs="Arial"/>
                <w:sz w:val="22"/>
                <w:szCs w:val="22"/>
              </w:rPr>
            </w:pPr>
            <w:r w:rsidRPr="00430DA8">
              <w:rPr>
                <w:rFonts w:ascii="Arial" w:hAnsi="Arial" w:cs="Arial"/>
                <w:sz w:val="22"/>
                <w:szCs w:val="22"/>
              </w:rPr>
              <w:t>%</w:t>
            </w:r>
          </w:p>
        </w:tc>
      </w:tr>
      <w:tr w:rsidR="00EA174D" w:rsidRPr="00430DA8" w14:paraId="6E4B8D18" w14:textId="77777777" w:rsidTr="00137BCE">
        <w:trPr>
          <w:trHeight w:val="432"/>
        </w:trPr>
        <w:tc>
          <w:tcPr>
            <w:tcW w:w="4225" w:type="dxa"/>
            <w:vAlign w:val="center"/>
          </w:tcPr>
          <w:p w14:paraId="33DB057A" w14:textId="77777777" w:rsidR="00EA174D" w:rsidRPr="00430DA8" w:rsidRDefault="00EA174D" w:rsidP="00137BCE">
            <w:pPr>
              <w:rPr>
                <w:rFonts w:ascii="Arial" w:hAnsi="Arial" w:cs="Arial"/>
                <w:sz w:val="22"/>
                <w:szCs w:val="22"/>
              </w:rPr>
            </w:pPr>
            <w:r w:rsidRPr="00430DA8">
              <w:rPr>
                <w:rFonts w:ascii="Arial" w:hAnsi="Arial" w:cs="Arial"/>
                <w:b/>
                <w:sz w:val="22"/>
                <w:szCs w:val="22"/>
              </w:rPr>
              <w:t>Average Annual Wage for Qualifying New Jobs</w:t>
            </w:r>
            <w:r w:rsidRPr="00430DA8">
              <w:rPr>
                <w:rFonts w:ascii="Arial" w:hAnsi="Arial" w:cs="Arial"/>
                <w:b/>
                <w:sz w:val="22"/>
                <w:szCs w:val="22"/>
                <w:vertAlign w:val="superscript"/>
              </w:rPr>
              <w:t>5</w:t>
            </w:r>
          </w:p>
        </w:tc>
        <w:tc>
          <w:tcPr>
            <w:tcW w:w="1710" w:type="dxa"/>
            <w:shd w:val="clear" w:color="auto" w:fill="FFFFFF" w:themeFill="background1"/>
            <w:vAlign w:val="center"/>
          </w:tcPr>
          <w:p w14:paraId="746DEAEA" w14:textId="77777777" w:rsidR="00EA174D" w:rsidRPr="00430DA8" w:rsidRDefault="00EA174D" w:rsidP="00137BCE">
            <w:pPr>
              <w:rPr>
                <w:rFonts w:ascii="Arial" w:hAnsi="Arial" w:cs="Arial"/>
                <w:sz w:val="22"/>
                <w:szCs w:val="22"/>
              </w:rPr>
            </w:pPr>
          </w:p>
        </w:tc>
        <w:tc>
          <w:tcPr>
            <w:tcW w:w="1710" w:type="dxa"/>
            <w:shd w:val="clear" w:color="auto" w:fill="FFFFFF" w:themeFill="background1"/>
            <w:vAlign w:val="center"/>
          </w:tcPr>
          <w:p w14:paraId="37DA0BCB" w14:textId="77777777" w:rsidR="00EA174D" w:rsidRPr="00430DA8" w:rsidRDefault="00EA174D" w:rsidP="00137BCE">
            <w:pPr>
              <w:rPr>
                <w:rFonts w:ascii="Arial" w:hAnsi="Arial" w:cs="Arial"/>
                <w:sz w:val="22"/>
                <w:szCs w:val="22"/>
              </w:rPr>
            </w:pPr>
          </w:p>
        </w:tc>
        <w:tc>
          <w:tcPr>
            <w:tcW w:w="1710" w:type="dxa"/>
            <w:shd w:val="clear" w:color="auto" w:fill="1F3864" w:themeFill="accent1" w:themeFillShade="80"/>
            <w:vAlign w:val="center"/>
          </w:tcPr>
          <w:p w14:paraId="43033D18" w14:textId="77777777" w:rsidR="00EA174D" w:rsidRPr="00430DA8" w:rsidRDefault="00EA174D" w:rsidP="00137BCE">
            <w:pPr>
              <w:rPr>
                <w:rFonts w:ascii="Arial" w:hAnsi="Arial" w:cs="Arial"/>
                <w:sz w:val="22"/>
                <w:szCs w:val="22"/>
              </w:rPr>
            </w:pPr>
          </w:p>
        </w:tc>
      </w:tr>
      <w:tr w:rsidR="00EA174D" w:rsidRPr="00430DA8" w14:paraId="4DDC846A" w14:textId="77777777" w:rsidTr="00137BCE">
        <w:trPr>
          <w:trHeight w:val="432"/>
        </w:trPr>
        <w:tc>
          <w:tcPr>
            <w:tcW w:w="4225" w:type="dxa"/>
            <w:vAlign w:val="center"/>
          </w:tcPr>
          <w:p w14:paraId="60E342A3" w14:textId="77777777" w:rsidR="00EA174D" w:rsidRPr="00430DA8" w:rsidRDefault="00EA174D" w:rsidP="00137BCE">
            <w:pPr>
              <w:rPr>
                <w:rFonts w:ascii="Arial" w:hAnsi="Arial" w:cs="Arial"/>
                <w:sz w:val="22"/>
                <w:szCs w:val="22"/>
              </w:rPr>
            </w:pPr>
            <w:r w:rsidRPr="00430DA8">
              <w:rPr>
                <w:rFonts w:ascii="Arial" w:hAnsi="Arial" w:cs="Arial"/>
                <w:b/>
                <w:sz w:val="22"/>
                <w:szCs w:val="22"/>
              </w:rPr>
              <w:t xml:space="preserve">Standard Fringe Benefits Offered </w:t>
            </w:r>
          </w:p>
        </w:tc>
        <w:tc>
          <w:tcPr>
            <w:tcW w:w="1710" w:type="dxa"/>
            <w:shd w:val="clear" w:color="auto" w:fill="FFFFFF" w:themeFill="background1"/>
            <w:vAlign w:val="center"/>
          </w:tcPr>
          <w:p w14:paraId="09805FEE" w14:textId="77777777" w:rsidR="00EA174D" w:rsidRPr="00430DA8" w:rsidRDefault="00E72FD8" w:rsidP="00137BCE">
            <w:pPr>
              <w:rPr>
                <w:rFonts w:ascii="Arial" w:hAnsi="Arial" w:cs="Arial"/>
                <w:sz w:val="22"/>
                <w:szCs w:val="22"/>
              </w:rPr>
            </w:pPr>
            <w:sdt>
              <w:sdtPr>
                <w:rPr>
                  <w:rFonts w:ascii="Arial" w:hAnsi="Arial" w:cs="Arial"/>
                  <w:sz w:val="22"/>
                  <w:szCs w:val="22"/>
                </w:rPr>
                <w:id w:val="-815028096"/>
                <w14:checkbox>
                  <w14:checked w14:val="0"/>
                  <w14:checkedState w14:val="2612" w14:font="MS Gothic"/>
                  <w14:uncheckedState w14:val="2610" w14:font="MS Gothic"/>
                </w14:checkbox>
              </w:sdtPr>
              <w:sdtEndPr/>
              <w:sdtContent>
                <w:r w:rsidR="00EA174D" w:rsidRPr="00430DA8">
                  <w:rPr>
                    <w:rFonts w:ascii="Segoe UI Symbol" w:eastAsia="MS Gothic" w:hAnsi="Segoe UI Symbol" w:cs="Segoe UI Symbol"/>
                    <w:sz w:val="22"/>
                    <w:szCs w:val="22"/>
                  </w:rPr>
                  <w:t>☐</w:t>
                </w:r>
              </w:sdtContent>
            </w:sdt>
            <w:r w:rsidR="00EA174D" w:rsidRPr="00430DA8">
              <w:rPr>
                <w:rFonts w:ascii="Arial" w:hAnsi="Arial" w:cs="Arial"/>
                <w:sz w:val="22"/>
                <w:szCs w:val="22"/>
              </w:rPr>
              <w:t xml:space="preserve"> Yes                        </w:t>
            </w:r>
          </w:p>
        </w:tc>
        <w:tc>
          <w:tcPr>
            <w:tcW w:w="1710" w:type="dxa"/>
            <w:shd w:val="clear" w:color="auto" w:fill="FFFFFF" w:themeFill="background1"/>
            <w:vAlign w:val="center"/>
          </w:tcPr>
          <w:p w14:paraId="1CECD27A" w14:textId="77777777" w:rsidR="00EA174D" w:rsidRPr="00430DA8" w:rsidRDefault="00E72FD8" w:rsidP="00137BCE">
            <w:pPr>
              <w:rPr>
                <w:rFonts w:ascii="Arial" w:hAnsi="Arial" w:cs="Arial"/>
                <w:sz w:val="22"/>
                <w:szCs w:val="22"/>
              </w:rPr>
            </w:pPr>
            <w:sdt>
              <w:sdtPr>
                <w:rPr>
                  <w:rFonts w:ascii="Arial" w:hAnsi="Arial" w:cs="Arial"/>
                  <w:sz w:val="22"/>
                  <w:szCs w:val="22"/>
                </w:rPr>
                <w:id w:val="-1502966968"/>
                <w14:checkbox>
                  <w14:checked w14:val="0"/>
                  <w14:checkedState w14:val="2612" w14:font="MS Gothic"/>
                  <w14:uncheckedState w14:val="2610" w14:font="MS Gothic"/>
                </w14:checkbox>
              </w:sdtPr>
              <w:sdtEndPr/>
              <w:sdtContent>
                <w:r w:rsidR="00EA174D" w:rsidRPr="00430DA8">
                  <w:rPr>
                    <w:rFonts w:ascii="Segoe UI Symbol" w:eastAsia="MS Gothic" w:hAnsi="Segoe UI Symbol" w:cs="Segoe UI Symbol"/>
                    <w:sz w:val="22"/>
                    <w:szCs w:val="22"/>
                  </w:rPr>
                  <w:t>☐</w:t>
                </w:r>
              </w:sdtContent>
            </w:sdt>
            <w:r w:rsidR="00EA174D" w:rsidRPr="00430DA8">
              <w:rPr>
                <w:rFonts w:ascii="Arial" w:hAnsi="Arial" w:cs="Arial"/>
                <w:sz w:val="22"/>
                <w:szCs w:val="22"/>
              </w:rPr>
              <w:t xml:space="preserve"> No                        </w:t>
            </w:r>
          </w:p>
        </w:tc>
        <w:tc>
          <w:tcPr>
            <w:tcW w:w="1710" w:type="dxa"/>
            <w:shd w:val="clear" w:color="auto" w:fill="1F3864" w:themeFill="accent1" w:themeFillShade="80"/>
            <w:vAlign w:val="center"/>
          </w:tcPr>
          <w:p w14:paraId="445361D2" w14:textId="77777777" w:rsidR="00EA174D" w:rsidRPr="00430DA8" w:rsidRDefault="00EA174D" w:rsidP="00137BCE">
            <w:pPr>
              <w:rPr>
                <w:rFonts w:ascii="Arial" w:hAnsi="Arial" w:cs="Arial"/>
                <w:sz w:val="22"/>
                <w:szCs w:val="22"/>
              </w:rPr>
            </w:pPr>
          </w:p>
        </w:tc>
      </w:tr>
    </w:tbl>
    <w:p w14:paraId="675F3193" w14:textId="71F1824A" w:rsidR="00FB0E29" w:rsidRPr="00430DA8" w:rsidRDefault="00EA174D" w:rsidP="00FB0E29">
      <w:pPr>
        <w:ind w:left="90" w:hanging="90"/>
        <w:jc w:val="both"/>
        <w:rPr>
          <w:rFonts w:ascii="Arial" w:hAnsi="Arial" w:cs="Arial"/>
          <w:sz w:val="16"/>
          <w:szCs w:val="16"/>
        </w:rPr>
      </w:pPr>
      <w:r w:rsidRPr="00430DA8">
        <w:rPr>
          <w:rFonts w:ascii="Arial" w:hAnsi="Arial" w:cs="Arial"/>
          <w:sz w:val="16"/>
          <w:szCs w:val="16"/>
          <w:vertAlign w:val="superscript"/>
        </w:rPr>
        <w:t>4</w:t>
      </w:r>
      <w:r w:rsidR="00611669" w:rsidRPr="00611669">
        <w:rPr>
          <w:rFonts w:ascii="Arial" w:hAnsi="Arial" w:cs="Arial"/>
          <w:sz w:val="16"/>
          <w:szCs w:val="16"/>
        </w:rPr>
        <w:t xml:space="preserve"> </w:t>
      </w:r>
      <w:r w:rsidR="00611669" w:rsidRPr="00611669">
        <w:rPr>
          <w:rFonts w:ascii="Arial" w:hAnsi="Arial" w:cs="Arial"/>
          <w:sz w:val="16"/>
          <w:szCs w:val="16"/>
        </w:rPr>
        <w:t>Total New Jobs, defined as full-time employment of an indefinite duration, created by the Group as of the Reporting Date, each earning at least 150% of the Locality's Prevailing Average Wage as outlined in the MOU.</w:t>
      </w:r>
      <w:r w:rsidR="00611669">
        <w:rPr>
          <w:rFonts w:ascii="Arial" w:hAnsi="Arial" w:cs="Arial"/>
          <w:sz w:val="16"/>
          <w:szCs w:val="16"/>
        </w:rPr>
        <w:t xml:space="preserve"> </w:t>
      </w:r>
      <w:r w:rsidRPr="00430DA8">
        <w:rPr>
          <w:rFonts w:ascii="Arial" w:hAnsi="Arial" w:cs="Arial"/>
          <w:sz w:val="16"/>
          <w:szCs w:val="16"/>
        </w:rPr>
        <w:t xml:space="preserve">Qualifying New Jobs should be in addition to the applicable baseline employment of </w:t>
      </w:r>
      <w:r w:rsidRPr="00430DA8">
        <w:rPr>
          <w:rFonts w:ascii="Arial" w:hAnsi="Arial" w:cs="Arial"/>
          <w:sz w:val="16"/>
          <w:szCs w:val="16"/>
          <w:highlight w:val="yellow"/>
        </w:rPr>
        <w:t>____</w:t>
      </w:r>
      <w:r w:rsidRPr="00430DA8">
        <w:rPr>
          <w:rFonts w:ascii="Arial" w:hAnsi="Arial" w:cs="Arial"/>
          <w:sz w:val="16"/>
          <w:szCs w:val="16"/>
        </w:rPr>
        <w:t xml:space="preserve"> as established in the MOU. </w:t>
      </w:r>
      <w:r w:rsidR="00A45F6E" w:rsidRPr="00430DA8">
        <w:rPr>
          <w:rFonts w:ascii="Arial" w:hAnsi="Arial" w:cs="Arial"/>
          <w:sz w:val="16"/>
          <w:szCs w:val="16"/>
        </w:rPr>
        <w:t xml:space="preserve">Qualifying New Jobs may include tenant jobs or vendor jobs providing dedicated, full-time service to the Data Center. Jobs are not required to be physically located at the Data Center. </w:t>
      </w:r>
      <w:r w:rsidR="00692F1F" w:rsidRPr="00430DA8">
        <w:rPr>
          <w:rFonts w:ascii="Arial" w:hAnsi="Arial" w:cs="Arial"/>
          <w:sz w:val="16"/>
          <w:szCs w:val="16"/>
        </w:rPr>
        <w:t>Qualifying N</w:t>
      </w:r>
      <w:r w:rsidR="00A45F6E" w:rsidRPr="00430DA8">
        <w:rPr>
          <w:rFonts w:ascii="Arial" w:hAnsi="Arial" w:cs="Arial"/>
          <w:sz w:val="16"/>
          <w:szCs w:val="16"/>
        </w:rPr>
        <w:t xml:space="preserve">ew </w:t>
      </w:r>
      <w:r w:rsidR="00692F1F" w:rsidRPr="00430DA8">
        <w:rPr>
          <w:rFonts w:ascii="Arial" w:hAnsi="Arial" w:cs="Arial"/>
          <w:sz w:val="16"/>
          <w:szCs w:val="16"/>
        </w:rPr>
        <w:t>J</w:t>
      </w:r>
      <w:r w:rsidR="00A45F6E" w:rsidRPr="00430DA8">
        <w:rPr>
          <w:rFonts w:ascii="Arial" w:hAnsi="Arial" w:cs="Arial"/>
          <w:sz w:val="16"/>
          <w:szCs w:val="16"/>
        </w:rPr>
        <w:t xml:space="preserve">obs may be aggregated across the Data Center's facilities within a locality but not across localities. </w:t>
      </w:r>
      <w:r w:rsidR="00FB0E29" w:rsidRPr="00430DA8">
        <w:rPr>
          <w:rFonts w:ascii="Arial" w:hAnsi="Arial" w:cs="Arial"/>
          <w:sz w:val="16"/>
          <w:szCs w:val="16"/>
        </w:rPr>
        <w:t>Attach the company's four most recent Quarterly Tax Reports (Form FC-20) filed with the Virginia Employment Commission.</w:t>
      </w:r>
    </w:p>
    <w:p w14:paraId="22F6246C" w14:textId="77777777" w:rsidR="00EA174D" w:rsidRPr="00430DA8" w:rsidRDefault="00EA174D" w:rsidP="00EA174D">
      <w:pPr>
        <w:ind w:left="90" w:hanging="90"/>
        <w:jc w:val="both"/>
        <w:rPr>
          <w:rFonts w:ascii="Arial" w:hAnsi="Arial" w:cs="Arial"/>
          <w:sz w:val="16"/>
          <w:szCs w:val="16"/>
        </w:rPr>
      </w:pPr>
      <w:r w:rsidRPr="00430DA8">
        <w:rPr>
          <w:rFonts w:ascii="Arial" w:hAnsi="Arial" w:cs="Arial"/>
          <w:sz w:val="16"/>
          <w:szCs w:val="16"/>
          <w:vertAlign w:val="superscript"/>
        </w:rPr>
        <w:t>5</w:t>
      </w:r>
      <w:r w:rsidRPr="00430DA8">
        <w:rPr>
          <w:rFonts w:ascii="Arial" w:hAnsi="Arial" w:cs="Arial"/>
          <w:sz w:val="16"/>
          <w:szCs w:val="16"/>
        </w:rPr>
        <w:t>Utilize the provided Excel template to calculate the Average Annual Wage for Qualifying New Jobs, based on the annualized salaries for those jobs. Annual Wage calculations should be exclusive of the value of fringe benefits.</w:t>
      </w:r>
    </w:p>
    <w:p w14:paraId="57E0023F" w14:textId="77777777" w:rsidR="00EA174D" w:rsidRPr="00430DA8" w:rsidRDefault="00EA174D" w:rsidP="00EA174D">
      <w:pPr>
        <w:rPr>
          <w:rFonts w:ascii="Arial" w:hAnsi="Arial" w:cs="Arial"/>
        </w:rPr>
      </w:pPr>
    </w:p>
    <w:tbl>
      <w:tblPr>
        <w:tblStyle w:val="TableGrid"/>
        <w:tblW w:w="9372" w:type="dxa"/>
        <w:tblInd w:w="-5" w:type="dxa"/>
        <w:tblLook w:val="04A0" w:firstRow="1" w:lastRow="0" w:firstColumn="1" w:lastColumn="0" w:noHBand="0" w:noVBand="1"/>
      </w:tblPr>
      <w:tblGrid>
        <w:gridCol w:w="4230"/>
        <w:gridCol w:w="1714"/>
        <w:gridCol w:w="1714"/>
        <w:gridCol w:w="1714"/>
      </w:tblGrid>
      <w:tr w:rsidR="00EA174D" w:rsidRPr="00430DA8" w14:paraId="54DF9A7E" w14:textId="77777777" w:rsidTr="00137BCE">
        <w:trPr>
          <w:trHeight w:val="432"/>
        </w:trPr>
        <w:tc>
          <w:tcPr>
            <w:tcW w:w="4230" w:type="dxa"/>
            <w:shd w:val="clear" w:color="auto" w:fill="1F3864" w:themeFill="accent1" w:themeFillShade="80"/>
            <w:vAlign w:val="center"/>
          </w:tcPr>
          <w:p w14:paraId="47C321DF" w14:textId="77777777" w:rsidR="00EA174D" w:rsidRPr="00430DA8" w:rsidRDefault="00EA174D"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Additional Job Creation</w:t>
            </w:r>
          </w:p>
        </w:tc>
        <w:tc>
          <w:tcPr>
            <w:tcW w:w="1714" w:type="dxa"/>
            <w:shd w:val="clear" w:color="auto" w:fill="1F3864" w:themeFill="accent1" w:themeFillShade="80"/>
            <w:vAlign w:val="center"/>
          </w:tcPr>
          <w:p w14:paraId="23F752F0" w14:textId="77777777" w:rsidR="00EA174D" w:rsidRPr="00430DA8" w:rsidRDefault="00EA174D"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Total Jobs</w:t>
            </w:r>
          </w:p>
        </w:tc>
        <w:tc>
          <w:tcPr>
            <w:tcW w:w="1714" w:type="dxa"/>
            <w:shd w:val="clear" w:color="auto" w:fill="1F3864" w:themeFill="accent1" w:themeFillShade="80"/>
          </w:tcPr>
          <w:p w14:paraId="62357C61" w14:textId="77777777" w:rsidR="00EA174D" w:rsidRPr="00430DA8" w:rsidRDefault="00EA174D"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Actual</w:t>
            </w:r>
          </w:p>
          <w:p w14:paraId="38F1821C" w14:textId="77777777" w:rsidR="00EA174D" w:rsidRPr="00430DA8" w:rsidRDefault="00EA174D"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Payroll</w:t>
            </w:r>
          </w:p>
        </w:tc>
        <w:tc>
          <w:tcPr>
            <w:tcW w:w="1714" w:type="dxa"/>
            <w:shd w:val="clear" w:color="auto" w:fill="1F3864" w:themeFill="accent1" w:themeFillShade="80"/>
            <w:vAlign w:val="center"/>
          </w:tcPr>
          <w:p w14:paraId="24194317" w14:textId="77777777" w:rsidR="00EA174D" w:rsidRPr="00430DA8" w:rsidRDefault="00EA174D"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Annualized</w:t>
            </w:r>
          </w:p>
          <w:p w14:paraId="782F97CD" w14:textId="77777777" w:rsidR="00EA174D" w:rsidRPr="00430DA8" w:rsidRDefault="00EA174D"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Payroll</w:t>
            </w:r>
          </w:p>
        </w:tc>
      </w:tr>
      <w:tr w:rsidR="00EA174D" w:rsidRPr="00430DA8" w14:paraId="36FC2F64" w14:textId="77777777" w:rsidTr="00137BCE">
        <w:trPr>
          <w:trHeight w:val="360"/>
        </w:trPr>
        <w:tc>
          <w:tcPr>
            <w:tcW w:w="4230" w:type="dxa"/>
            <w:vAlign w:val="center"/>
          </w:tcPr>
          <w:p w14:paraId="2136B9E7" w14:textId="77777777" w:rsidR="00EA174D" w:rsidRPr="00430DA8" w:rsidRDefault="00EA174D" w:rsidP="00137BCE">
            <w:pPr>
              <w:rPr>
                <w:rFonts w:ascii="Arial" w:hAnsi="Arial" w:cs="Arial"/>
                <w:sz w:val="22"/>
                <w:szCs w:val="22"/>
              </w:rPr>
            </w:pPr>
            <w:r w:rsidRPr="00430DA8">
              <w:rPr>
                <w:rFonts w:ascii="Arial" w:hAnsi="Arial" w:cs="Arial"/>
                <w:sz w:val="22"/>
                <w:szCs w:val="22"/>
              </w:rPr>
              <w:t>Other New Full-Time Jobs</w:t>
            </w:r>
            <w:r w:rsidRPr="00430DA8">
              <w:rPr>
                <w:rFonts w:ascii="Arial" w:hAnsi="Arial" w:cs="Arial"/>
                <w:sz w:val="22"/>
                <w:szCs w:val="22"/>
                <w:vertAlign w:val="superscript"/>
              </w:rPr>
              <w:t>6</w:t>
            </w:r>
          </w:p>
        </w:tc>
        <w:tc>
          <w:tcPr>
            <w:tcW w:w="1714" w:type="dxa"/>
            <w:shd w:val="clear" w:color="auto" w:fill="FFFFFF" w:themeFill="background1"/>
          </w:tcPr>
          <w:p w14:paraId="4B869C7F" w14:textId="77777777" w:rsidR="00EA174D" w:rsidRPr="00430DA8" w:rsidRDefault="00EA174D" w:rsidP="00137BCE">
            <w:pPr>
              <w:rPr>
                <w:rFonts w:ascii="Arial" w:hAnsi="Arial" w:cs="Arial"/>
                <w:sz w:val="22"/>
                <w:szCs w:val="22"/>
              </w:rPr>
            </w:pPr>
          </w:p>
        </w:tc>
        <w:tc>
          <w:tcPr>
            <w:tcW w:w="1714" w:type="dxa"/>
            <w:shd w:val="clear" w:color="auto" w:fill="FFFFFF" w:themeFill="background1"/>
          </w:tcPr>
          <w:p w14:paraId="062E9C37" w14:textId="77777777" w:rsidR="00EA174D" w:rsidRPr="00430DA8" w:rsidRDefault="00EA174D" w:rsidP="00137BCE">
            <w:pPr>
              <w:rPr>
                <w:rFonts w:ascii="Arial" w:hAnsi="Arial" w:cs="Arial"/>
                <w:sz w:val="22"/>
                <w:szCs w:val="22"/>
              </w:rPr>
            </w:pPr>
          </w:p>
        </w:tc>
        <w:tc>
          <w:tcPr>
            <w:tcW w:w="1714" w:type="dxa"/>
            <w:shd w:val="clear" w:color="auto" w:fill="FFFFFF" w:themeFill="background1"/>
          </w:tcPr>
          <w:p w14:paraId="452BA8EC" w14:textId="77777777" w:rsidR="00EA174D" w:rsidRPr="00430DA8" w:rsidRDefault="00EA174D" w:rsidP="00137BCE">
            <w:pPr>
              <w:rPr>
                <w:rFonts w:ascii="Arial" w:hAnsi="Arial" w:cs="Arial"/>
                <w:sz w:val="22"/>
                <w:szCs w:val="22"/>
              </w:rPr>
            </w:pPr>
          </w:p>
        </w:tc>
      </w:tr>
      <w:tr w:rsidR="00EA174D" w:rsidRPr="00430DA8" w14:paraId="76345060" w14:textId="77777777" w:rsidTr="00137BCE">
        <w:trPr>
          <w:trHeight w:val="360"/>
        </w:trPr>
        <w:tc>
          <w:tcPr>
            <w:tcW w:w="4230" w:type="dxa"/>
            <w:vAlign w:val="center"/>
          </w:tcPr>
          <w:p w14:paraId="03B2D803" w14:textId="77777777" w:rsidR="00EA174D" w:rsidRPr="00430DA8" w:rsidRDefault="00EA174D" w:rsidP="00137BCE">
            <w:pPr>
              <w:rPr>
                <w:rFonts w:ascii="Arial" w:hAnsi="Arial" w:cs="Arial"/>
                <w:sz w:val="22"/>
                <w:szCs w:val="22"/>
              </w:rPr>
            </w:pPr>
            <w:r w:rsidRPr="00430DA8">
              <w:rPr>
                <w:rFonts w:ascii="Arial" w:hAnsi="Arial" w:cs="Arial"/>
                <w:sz w:val="22"/>
                <w:szCs w:val="22"/>
              </w:rPr>
              <w:t>Other New Full-Time Equivalents</w:t>
            </w:r>
            <w:r w:rsidRPr="00430DA8">
              <w:rPr>
                <w:rFonts w:ascii="Arial" w:hAnsi="Arial" w:cs="Arial"/>
                <w:sz w:val="22"/>
                <w:szCs w:val="22"/>
                <w:vertAlign w:val="superscript"/>
              </w:rPr>
              <w:t>7</w:t>
            </w:r>
          </w:p>
        </w:tc>
        <w:tc>
          <w:tcPr>
            <w:tcW w:w="1714" w:type="dxa"/>
            <w:shd w:val="clear" w:color="auto" w:fill="FFFFFF" w:themeFill="background1"/>
          </w:tcPr>
          <w:p w14:paraId="7F15A5E8" w14:textId="77777777" w:rsidR="00EA174D" w:rsidRPr="00430DA8" w:rsidRDefault="00EA174D" w:rsidP="00137BCE">
            <w:pPr>
              <w:rPr>
                <w:rFonts w:ascii="Arial" w:hAnsi="Arial" w:cs="Arial"/>
                <w:sz w:val="22"/>
                <w:szCs w:val="22"/>
              </w:rPr>
            </w:pPr>
          </w:p>
        </w:tc>
        <w:tc>
          <w:tcPr>
            <w:tcW w:w="1714" w:type="dxa"/>
            <w:shd w:val="clear" w:color="auto" w:fill="FFFFFF" w:themeFill="background1"/>
          </w:tcPr>
          <w:p w14:paraId="7C8AA5AC" w14:textId="77777777" w:rsidR="00EA174D" w:rsidRPr="00430DA8" w:rsidRDefault="00EA174D" w:rsidP="00137BCE">
            <w:pPr>
              <w:rPr>
                <w:rFonts w:ascii="Arial" w:hAnsi="Arial" w:cs="Arial"/>
                <w:sz w:val="22"/>
                <w:szCs w:val="22"/>
              </w:rPr>
            </w:pPr>
          </w:p>
        </w:tc>
        <w:tc>
          <w:tcPr>
            <w:tcW w:w="1714" w:type="dxa"/>
            <w:shd w:val="clear" w:color="auto" w:fill="1F3864" w:themeFill="accent1" w:themeFillShade="80"/>
          </w:tcPr>
          <w:p w14:paraId="6E02A301" w14:textId="77777777" w:rsidR="00EA174D" w:rsidRPr="00430DA8" w:rsidRDefault="00EA174D" w:rsidP="00137BCE">
            <w:pPr>
              <w:rPr>
                <w:rFonts w:ascii="Arial" w:hAnsi="Arial" w:cs="Arial"/>
                <w:sz w:val="22"/>
                <w:szCs w:val="22"/>
              </w:rPr>
            </w:pPr>
          </w:p>
        </w:tc>
      </w:tr>
    </w:tbl>
    <w:p w14:paraId="4FFC6C2F" w14:textId="2B46AEFE" w:rsidR="00EA174D" w:rsidRPr="00430DA8" w:rsidRDefault="00EA174D" w:rsidP="00693E02">
      <w:pPr>
        <w:ind w:left="90" w:hanging="90"/>
        <w:jc w:val="both"/>
        <w:rPr>
          <w:rFonts w:ascii="Arial" w:hAnsi="Arial" w:cs="Arial"/>
          <w:sz w:val="16"/>
          <w:szCs w:val="16"/>
        </w:rPr>
      </w:pPr>
      <w:r w:rsidRPr="00430DA8">
        <w:rPr>
          <w:rFonts w:ascii="Arial" w:hAnsi="Arial" w:cs="Arial"/>
          <w:sz w:val="16"/>
          <w:szCs w:val="16"/>
          <w:vertAlign w:val="superscript"/>
        </w:rPr>
        <w:t>6</w:t>
      </w:r>
      <w:r w:rsidR="00611669" w:rsidRPr="00611669">
        <w:rPr>
          <w:rFonts w:ascii="Arial" w:eastAsiaTheme="minorHAnsi" w:hAnsi="Arial" w:cs="Arial"/>
          <w:sz w:val="22"/>
          <w:szCs w:val="22"/>
        </w:rPr>
        <w:t xml:space="preserve"> </w:t>
      </w:r>
      <w:r w:rsidR="00693E02" w:rsidRPr="00693E02">
        <w:rPr>
          <w:rFonts w:ascii="Arial" w:hAnsi="Arial" w:cs="Arial"/>
          <w:sz w:val="16"/>
          <w:szCs w:val="16"/>
        </w:rPr>
        <w:t>Total Other New Full-Time Jobs, defined as full-time employment of an indefinite duration as of the Reporting Date, earning below 150% of the Locality's Prevailing Average Wage as outlined in the MOU</w:t>
      </w:r>
      <w:r w:rsidR="00693E02">
        <w:rPr>
          <w:rFonts w:ascii="Arial" w:hAnsi="Arial" w:cs="Arial"/>
          <w:sz w:val="16"/>
          <w:szCs w:val="16"/>
        </w:rPr>
        <w:t xml:space="preserve">. </w:t>
      </w:r>
      <w:r w:rsidR="00A45F6E" w:rsidRPr="00430DA8">
        <w:rPr>
          <w:rFonts w:ascii="Arial" w:hAnsi="Arial" w:cs="Arial"/>
          <w:sz w:val="16"/>
          <w:szCs w:val="16"/>
        </w:rPr>
        <w:t xml:space="preserve">Jobs are not required to be physically located at the Data Center. </w:t>
      </w:r>
      <w:r w:rsidR="00692F1F" w:rsidRPr="00430DA8">
        <w:rPr>
          <w:rFonts w:ascii="Arial" w:hAnsi="Arial" w:cs="Arial"/>
          <w:sz w:val="16"/>
          <w:szCs w:val="16"/>
        </w:rPr>
        <w:t xml:space="preserve">Other </w:t>
      </w:r>
      <w:r w:rsidR="00A45F6E" w:rsidRPr="00430DA8">
        <w:rPr>
          <w:rFonts w:ascii="Arial" w:hAnsi="Arial" w:cs="Arial"/>
          <w:sz w:val="16"/>
          <w:szCs w:val="16"/>
        </w:rPr>
        <w:t xml:space="preserve">New </w:t>
      </w:r>
      <w:r w:rsidR="00692F1F" w:rsidRPr="00430DA8">
        <w:rPr>
          <w:rFonts w:ascii="Arial" w:hAnsi="Arial" w:cs="Arial"/>
          <w:sz w:val="16"/>
          <w:szCs w:val="16"/>
        </w:rPr>
        <w:t>J</w:t>
      </w:r>
      <w:r w:rsidR="00A45F6E" w:rsidRPr="00430DA8">
        <w:rPr>
          <w:rFonts w:ascii="Arial" w:hAnsi="Arial" w:cs="Arial"/>
          <w:sz w:val="16"/>
          <w:szCs w:val="16"/>
        </w:rPr>
        <w:t>obs may be aggregated across the Data Center's facilities within a locality but not across localities.</w:t>
      </w:r>
      <w:r w:rsidR="00692F1F" w:rsidRPr="00430DA8">
        <w:rPr>
          <w:rFonts w:ascii="Arial" w:hAnsi="Arial" w:cs="Arial"/>
          <w:sz w:val="16"/>
          <w:szCs w:val="16"/>
        </w:rPr>
        <w:t xml:space="preserve"> Other New Full-Time Jobs may include tenant jobs or vendor jobs providing dedicated, full-time service to the Data Center.</w:t>
      </w:r>
      <w:r w:rsidR="00105680" w:rsidRPr="00430DA8">
        <w:rPr>
          <w:rFonts w:ascii="Arial" w:hAnsi="Arial" w:cs="Arial"/>
          <w:sz w:val="16"/>
          <w:szCs w:val="16"/>
        </w:rPr>
        <w:t xml:space="preserve"> Utilize the provided Excel template to calculate the Average Annual Wage for Other New Full-Time Jobs, based on the annualized salaries for those jobs. Actual </w:t>
      </w:r>
      <w:r w:rsidR="00CB1A51">
        <w:rPr>
          <w:rFonts w:ascii="Arial" w:hAnsi="Arial" w:cs="Arial"/>
          <w:sz w:val="16"/>
          <w:szCs w:val="16"/>
        </w:rPr>
        <w:t>p</w:t>
      </w:r>
      <w:r w:rsidR="00105680" w:rsidRPr="00430DA8">
        <w:rPr>
          <w:rFonts w:ascii="Arial" w:hAnsi="Arial" w:cs="Arial"/>
          <w:sz w:val="16"/>
          <w:szCs w:val="16"/>
        </w:rPr>
        <w:t xml:space="preserve">ayroll should be exclusive of the value of fringe benefits.  </w:t>
      </w:r>
    </w:p>
    <w:p w14:paraId="7A2CFEBA" w14:textId="18FE32E3" w:rsidR="00A45F6E" w:rsidRPr="00430DA8" w:rsidRDefault="00EA174D" w:rsidP="00A45F6E">
      <w:pPr>
        <w:ind w:left="90" w:hanging="90"/>
        <w:jc w:val="both"/>
        <w:rPr>
          <w:rFonts w:ascii="Arial" w:hAnsi="Arial" w:cs="Arial"/>
          <w:sz w:val="16"/>
          <w:szCs w:val="16"/>
        </w:rPr>
      </w:pPr>
      <w:r w:rsidRPr="00430DA8">
        <w:rPr>
          <w:rFonts w:ascii="Arial" w:hAnsi="Arial" w:cs="Arial"/>
          <w:sz w:val="16"/>
          <w:szCs w:val="16"/>
          <w:vertAlign w:val="superscript"/>
        </w:rPr>
        <w:t>7</w:t>
      </w:r>
      <w:r w:rsidR="00692F1F" w:rsidRPr="00430DA8">
        <w:rPr>
          <w:rFonts w:ascii="Arial" w:hAnsi="Arial" w:cs="Arial"/>
          <w:sz w:val="16"/>
          <w:szCs w:val="16"/>
          <w:vertAlign w:val="superscript"/>
        </w:rPr>
        <w:t xml:space="preserve"> </w:t>
      </w:r>
      <w:r w:rsidRPr="00430DA8">
        <w:rPr>
          <w:rFonts w:ascii="Arial" w:hAnsi="Arial" w:cs="Arial"/>
          <w:sz w:val="16"/>
          <w:szCs w:val="16"/>
        </w:rPr>
        <w:t xml:space="preserve">Other Full-Time Equivalents (FTEs) </w:t>
      </w:r>
      <w:r w:rsidR="00CB1A51">
        <w:rPr>
          <w:rFonts w:ascii="Arial" w:hAnsi="Arial" w:cs="Arial"/>
          <w:sz w:val="16"/>
          <w:szCs w:val="16"/>
        </w:rPr>
        <w:t>include</w:t>
      </w:r>
      <w:r w:rsidRPr="00430DA8">
        <w:rPr>
          <w:rFonts w:ascii="Arial" w:hAnsi="Arial" w:cs="Arial"/>
          <w:sz w:val="16"/>
          <w:szCs w:val="16"/>
        </w:rPr>
        <w:t xml:space="preserve"> the total hours worked by part-time employees</w:t>
      </w:r>
      <w:r w:rsidR="008B53D3" w:rsidRPr="00430DA8">
        <w:rPr>
          <w:rFonts w:ascii="Arial" w:hAnsi="Arial" w:cs="Arial"/>
          <w:sz w:val="16"/>
          <w:szCs w:val="16"/>
        </w:rPr>
        <w:t xml:space="preserve"> of the Group</w:t>
      </w:r>
      <w:r w:rsidRPr="00430DA8">
        <w:rPr>
          <w:rFonts w:ascii="Arial" w:hAnsi="Arial" w:cs="Arial"/>
          <w:sz w:val="16"/>
          <w:szCs w:val="16"/>
        </w:rPr>
        <w:t xml:space="preserve"> during the Reporting Period, divided by 2080 hours</w:t>
      </w:r>
      <w:r w:rsidR="00FB0E29" w:rsidRPr="00430DA8">
        <w:rPr>
          <w:rFonts w:ascii="Arial" w:hAnsi="Arial" w:cs="Arial"/>
          <w:sz w:val="16"/>
          <w:szCs w:val="16"/>
        </w:rPr>
        <w:t xml:space="preserve"> (40 hours at 52 weeks per year)</w:t>
      </w:r>
      <w:r w:rsidRPr="00430DA8">
        <w:rPr>
          <w:rFonts w:ascii="Arial" w:hAnsi="Arial" w:cs="Arial"/>
          <w:sz w:val="16"/>
          <w:szCs w:val="16"/>
        </w:rPr>
        <w:t xml:space="preserve">. </w:t>
      </w:r>
      <w:r w:rsidR="00A45F6E" w:rsidRPr="00430DA8">
        <w:rPr>
          <w:rFonts w:ascii="Arial" w:hAnsi="Arial" w:cs="Arial"/>
          <w:sz w:val="16"/>
          <w:szCs w:val="16"/>
        </w:rPr>
        <w:t xml:space="preserve">Other New FTEs may include tenant jobs. Jobs are not required to be physically located at the Data Center. </w:t>
      </w:r>
      <w:r w:rsidR="00692F1F" w:rsidRPr="00430DA8">
        <w:rPr>
          <w:rFonts w:ascii="Arial" w:hAnsi="Arial" w:cs="Arial"/>
          <w:sz w:val="16"/>
          <w:szCs w:val="16"/>
        </w:rPr>
        <w:t xml:space="preserve">Other New </w:t>
      </w:r>
      <w:r w:rsidR="00A45F6E" w:rsidRPr="00430DA8">
        <w:rPr>
          <w:rFonts w:ascii="Arial" w:hAnsi="Arial" w:cs="Arial"/>
          <w:sz w:val="16"/>
          <w:szCs w:val="16"/>
        </w:rPr>
        <w:t>FTEs may be aggregated across the Data Center's facilities within a locality, but not across localities.</w:t>
      </w:r>
      <w:r w:rsidR="00105680" w:rsidRPr="00430DA8">
        <w:rPr>
          <w:rFonts w:ascii="Arial" w:hAnsi="Arial" w:cs="Arial"/>
          <w:sz w:val="16"/>
          <w:szCs w:val="16"/>
        </w:rPr>
        <w:t xml:space="preserve"> Utilize the provided Excel template to calculate the Actual Payroll for Other New FTEs. Actual </w:t>
      </w:r>
      <w:r w:rsidR="00CB1A51">
        <w:rPr>
          <w:rFonts w:ascii="Arial" w:hAnsi="Arial" w:cs="Arial"/>
          <w:sz w:val="16"/>
          <w:szCs w:val="16"/>
        </w:rPr>
        <w:t>p</w:t>
      </w:r>
      <w:r w:rsidR="00105680" w:rsidRPr="00430DA8">
        <w:rPr>
          <w:rFonts w:ascii="Arial" w:hAnsi="Arial" w:cs="Arial"/>
          <w:sz w:val="16"/>
          <w:szCs w:val="16"/>
        </w:rPr>
        <w:t xml:space="preserve">ayroll should be exclusive of the value of fringe benefits. </w:t>
      </w:r>
    </w:p>
    <w:p w14:paraId="21CF23EA" w14:textId="2B3524F3" w:rsidR="00EA174D" w:rsidRPr="00430DA8" w:rsidRDefault="00EA174D" w:rsidP="00EA174D">
      <w:pPr>
        <w:ind w:left="90" w:hanging="90"/>
        <w:jc w:val="both"/>
        <w:rPr>
          <w:rFonts w:ascii="Arial" w:hAnsi="Arial" w:cs="Arial"/>
          <w:sz w:val="16"/>
          <w:szCs w:val="16"/>
        </w:rPr>
      </w:pPr>
    </w:p>
    <w:p w14:paraId="22A17D82" w14:textId="77777777" w:rsidR="00EA174D" w:rsidRPr="00430DA8" w:rsidRDefault="00EA174D" w:rsidP="00EA174D">
      <w:pPr>
        <w:ind w:left="90" w:hanging="90"/>
        <w:jc w:val="both"/>
        <w:rPr>
          <w:rFonts w:ascii="Arial" w:hAnsi="Arial" w:cs="Arial"/>
          <w:sz w:val="16"/>
          <w:szCs w:val="16"/>
        </w:rPr>
      </w:pPr>
    </w:p>
    <w:p w14:paraId="2858B23B" w14:textId="77777777" w:rsidR="00EA174D" w:rsidRPr="00430DA8" w:rsidRDefault="00EA174D" w:rsidP="00EA174D">
      <w:pPr>
        <w:rPr>
          <w:rFonts w:ascii="Arial" w:hAnsi="Arial" w:cs="Arial"/>
          <w:b/>
          <w:szCs w:val="24"/>
        </w:rPr>
      </w:pPr>
    </w:p>
    <w:p w14:paraId="22CF856B" w14:textId="77777777" w:rsidR="00EA174D" w:rsidRPr="00430DA8" w:rsidRDefault="00EA174D" w:rsidP="00EA174D">
      <w:pPr>
        <w:rPr>
          <w:rFonts w:ascii="Arial" w:hAnsi="Arial" w:cs="Arial"/>
          <w:b/>
          <w:szCs w:val="24"/>
        </w:rPr>
      </w:pPr>
    </w:p>
    <w:p w14:paraId="0E3E1FB5" w14:textId="32E4CEA8" w:rsidR="00EA174D" w:rsidRPr="00430DA8" w:rsidRDefault="00EA174D" w:rsidP="00EA174D">
      <w:pPr>
        <w:rPr>
          <w:rFonts w:ascii="Arial" w:hAnsi="Arial" w:cs="Arial"/>
          <w:b/>
          <w:szCs w:val="24"/>
        </w:rPr>
      </w:pPr>
    </w:p>
    <w:p w14:paraId="0ED8E4AB" w14:textId="59FBB7E2" w:rsidR="008B53D3" w:rsidRDefault="008B53D3" w:rsidP="00EA174D">
      <w:pPr>
        <w:rPr>
          <w:rFonts w:ascii="Arial" w:hAnsi="Arial" w:cs="Arial"/>
          <w:b/>
          <w:szCs w:val="24"/>
        </w:rPr>
      </w:pPr>
    </w:p>
    <w:p w14:paraId="28CA2DC6" w14:textId="09C99862" w:rsidR="00693E02" w:rsidRDefault="00693E02" w:rsidP="00EA174D">
      <w:pPr>
        <w:rPr>
          <w:rFonts w:ascii="Arial" w:hAnsi="Arial" w:cs="Arial"/>
          <w:b/>
          <w:szCs w:val="24"/>
        </w:rPr>
      </w:pPr>
    </w:p>
    <w:p w14:paraId="2206EEA5" w14:textId="7EFDE450" w:rsidR="00693E02" w:rsidRDefault="00693E02" w:rsidP="00EA174D">
      <w:pPr>
        <w:rPr>
          <w:rFonts w:ascii="Arial" w:hAnsi="Arial" w:cs="Arial"/>
          <w:b/>
          <w:szCs w:val="24"/>
        </w:rPr>
      </w:pPr>
    </w:p>
    <w:p w14:paraId="6D2CCFFD" w14:textId="6B3411B9" w:rsidR="00693E02" w:rsidRDefault="00693E02" w:rsidP="00EA174D">
      <w:pPr>
        <w:rPr>
          <w:rFonts w:ascii="Arial" w:hAnsi="Arial" w:cs="Arial"/>
          <w:b/>
          <w:szCs w:val="24"/>
        </w:rPr>
      </w:pPr>
    </w:p>
    <w:p w14:paraId="78D1201B" w14:textId="1556B715" w:rsidR="00693E02" w:rsidRDefault="00693E02" w:rsidP="00EA174D">
      <w:pPr>
        <w:rPr>
          <w:rFonts w:ascii="Arial" w:hAnsi="Arial" w:cs="Arial"/>
          <w:b/>
          <w:szCs w:val="24"/>
        </w:rPr>
      </w:pPr>
    </w:p>
    <w:p w14:paraId="161EE3C7" w14:textId="77777777" w:rsidR="00EA174D" w:rsidRPr="00430DA8" w:rsidRDefault="00EA174D" w:rsidP="00EA174D">
      <w:pPr>
        <w:rPr>
          <w:rFonts w:ascii="Arial" w:hAnsi="Arial" w:cs="Arial"/>
          <w:b/>
          <w:szCs w:val="24"/>
        </w:rPr>
      </w:pPr>
    </w:p>
    <w:p w14:paraId="3A14F427" w14:textId="77777777" w:rsidR="00EA174D" w:rsidRPr="00430DA8" w:rsidRDefault="00EA174D" w:rsidP="00EA174D">
      <w:pPr>
        <w:rPr>
          <w:rFonts w:ascii="Arial" w:hAnsi="Arial" w:cs="Arial"/>
          <w:b/>
          <w:sz w:val="20"/>
        </w:rPr>
      </w:pPr>
      <w:r w:rsidRPr="00430DA8">
        <w:rPr>
          <w:rFonts w:ascii="Arial" w:hAnsi="Arial" w:cs="Arial"/>
          <w:b/>
          <w:sz w:val="20"/>
        </w:rPr>
        <w:t>TO BE CERTIFIED BY AN AUTHORIZED REPRESENTATIVE OF THE COMPANY:</w:t>
      </w:r>
    </w:p>
    <w:p w14:paraId="50E7521C" w14:textId="77777777" w:rsidR="00EA174D" w:rsidRPr="00430DA8" w:rsidRDefault="00EA174D" w:rsidP="00EA174D">
      <w:pPr>
        <w:rPr>
          <w:rFonts w:ascii="Arial" w:hAnsi="Arial" w:cs="Arial"/>
          <w:sz w:val="20"/>
        </w:rPr>
      </w:pPr>
    </w:p>
    <w:p w14:paraId="5545E31F" w14:textId="77777777" w:rsidR="00EA174D" w:rsidRPr="00430DA8" w:rsidRDefault="00EA174D" w:rsidP="00EA174D">
      <w:pPr>
        <w:rPr>
          <w:rFonts w:ascii="Arial" w:hAnsi="Arial" w:cs="Arial"/>
          <w:sz w:val="20"/>
        </w:rPr>
      </w:pPr>
      <w:r w:rsidRPr="00430DA8">
        <w:rPr>
          <w:rFonts w:ascii="Arial" w:hAnsi="Arial" w:cs="Arial"/>
          <w:sz w:val="20"/>
        </w:rPr>
        <w:t>I certify that I have examined this report, and to the best of my knowledge and belief, it is true, correct, and complete.</w:t>
      </w:r>
    </w:p>
    <w:p w14:paraId="75270C20" w14:textId="77777777" w:rsidR="00EA174D" w:rsidRPr="00430DA8" w:rsidRDefault="00EA174D" w:rsidP="00EA174D">
      <w:pPr>
        <w:rPr>
          <w:rFonts w:ascii="Arial" w:hAnsi="Arial" w:cs="Arial"/>
          <w:sz w:val="20"/>
        </w:rPr>
      </w:pPr>
    </w:p>
    <w:p w14:paraId="76092F18" w14:textId="77777777" w:rsidR="00EA174D" w:rsidRPr="00430DA8" w:rsidRDefault="00EA174D" w:rsidP="00EA174D">
      <w:pPr>
        <w:contextualSpacing/>
        <w:rPr>
          <w:rFonts w:ascii="Arial" w:hAnsi="Arial" w:cs="Arial"/>
          <w:sz w:val="20"/>
          <w:u w:val="single"/>
        </w:rPr>
      </w:pPr>
      <w:r w:rsidRPr="00430DA8">
        <w:rPr>
          <w:rFonts w:ascii="Arial" w:hAnsi="Arial" w:cs="Arial"/>
          <w:sz w:val="20"/>
        </w:rPr>
        <w:t xml:space="preserve">Company:  </w:t>
      </w:r>
      <w:r w:rsidRPr="00430DA8">
        <w:rPr>
          <w:rFonts w:ascii="Arial" w:hAnsi="Arial" w:cs="Arial"/>
          <w:sz w:val="20"/>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p>
    <w:p w14:paraId="59609524" w14:textId="77777777" w:rsidR="00EA174D" w:rsidRPr="00430DA8" w:rsidRDefault="00EA174D" w:rsidP="00EA174D">
      <w:pPr>
        <w:contextualSpacing/>
        <w:rPr>
          <w:rFonts w:ascii="Arial" w:hAnsi="Arial" w:cs="Arial"/>
          <w:sz w:val="20"/>
        </w:rPr>
      </w:pPr>
    </w:p>
    <w:p w14:paraId="694675CB" w14:textId="77777777" w:rsidR="00EA174D" w:rsidRPr="00430DA8" w:rsidRDefault="00EA174D" w:rsidP="00EA174D">
      <w:pPr>
        <w:contextualSpacing/>
        <w:rPr>
          <w:rFonts w:ascii="Arial" w:hAnsi="Arial" w:cs="Arial"/>
          <w:sz w:val="20"/>
        </w:rPr>
      </w:pPr>
    </w:p>
    <w:p w14:paraId="4F21E647" w14:textId="77777777" w:rsidR="00EA174D" w:rsidRPr="00430DA8" w:rsidRDefault="00EA174D" w:rsidP="00EA174D">
      <w:pPr>
        <w:ind w:left="720" w:firstLine="720"/>
        <w:contextualSpacing/>
        <w:rPr>
          <w:rFonts w:ascii="Arial" w:hAnsi="Arial" w:cs="Arial"/>
          <w:sz w:val="20"/>
        </w:rPr>
      </w:pPr>
      <w:r w:rsidRPr="00430DA8">
        <w:rPr>
          <w:rFonts w:ascii="Arial" w:hAnsi="Arial" w:cs="Arial"/>
          <w:sz w:val="20"/>
        </w:rPr>
        <w:t xml:space="preserve">By: </w:t>
      </w:r>
      <w:r w:rsidRPr="00430DA8">
        <w:rPr>
          <w:rFonts w:ascii="Arial" w:hAnsi="Arial" w:cs="Arial"/>
          <w:sz w:val="20"/>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p>
    <w:p w14:paraId="628C2375" w14:textId="77777777" w:rsidR="00EA174D" w:rsidRPr="00430DA8" w:rsidRDefault="00EA174D" w:rsidP="00EA174D">
      <w:pPr>
        <w:contextualSpacing/>
        <w:rPr>
          <w:rFonts w:ascii="Arial" w:hAnsi="Arial" w:cs="Arial"/>
          <w:sz w:val="20"/>
        </w:rPr>
      </w:pPr>
    </w:p>
    <w:p w14:paraId="35392E66" w14:textId="77777777" w:rsidR="00EA174D" w:rsidRPr="00430DA8" w:rsidRDefault="00EA174D" w:rsidP="00EA174D">
      <w:pPr>
        <w:ind w:left="720" w:firstLine="720"/>
        <w:contextualSpacing/>
        <w:rPr>
          <w:rFonts w:ascii="Arial" w:hAnsi="Arial" w:cs="Arial"/>
          <w:sz w:val="20"/>
          <w:u w:val="single"/>
        </w:rPr>
      </w:pPr>
      <w:r w:rsidRPr="00430DA8">
        <w:rPr>
          <w:rFonts w:ascii="Arial" w:hAnsi="Arial" w:cs="Arial"/>
          <w:sz w:val="20"/>
        </w:rPr>
        <w:t xml:space="preserve">Name: </w:t>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p>
    <w:p w14:paraId="6DB5D24C" w14:textId="77777777" w:rsidR="00EA174D" w:rsidRPr="00430DA8" w:rsidRDefault="00EA174D" w:rsidP="00EA174D">
      <w:pPr>
        <w:contextualSpacing/>
        <w:rPr>
          <w:rFonts w:ascii="Arial" w:hAnsi="Arial" w:cs="Arial"/>
          <w:sz w:val="20"/>
        </w:rPr>
      </w:pPr>
    </w:p>
    <w:p w14:paraId="7351A63E" w14:textId="77777777" w:rsidR="00EA174D" w:rsidRPr="00430DA8" w:rsidRDefault="00EA174D" w:rsidP="00EA174D">
      <w:pPr>
        <w:ind w:left="720" w:firstLine="720"/>
        <w:contextualSpacing/>
        <w:rPr>
          <w:rFonts w:ascii="Arial" w:hAnsi="Arial" w:cs="Arial"/>
          <w:sz w:val="20"/>
          <w:u w:val="single"/>
        </w:rPr>
      </w:pPr>
      <w:r w:rsidRPr="00430DA8">
        <w:rPr>
          <w:rFonts w:ascii="Arial" w:hAnsi="Arial" w:cs="Arial"/>
          <w:sz w:val="20"/>
        </w:rPr>
        <w:t>Title:</w:t>
      </w:r>
      <w:r w:rsidRPr="00430DA8">
        <w:rPr>
          <w:rFonts w:ascii="Arial" w:hAnsi="Arial" w:cs="Arial"/>
          <w:sz w:val="20"/>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p>
    <w:p w14:paraId="1E638373" w14:textId="77777777" w:rsidR="00EA174D" w:rsidRPr="00430DA8" w:rsidRDefault="00EA174D" w:rsidP="00EA174D">
      <w:pPr>
        <w:contextualSpacing/>
        <w:rPr>
          <w:rFonts w:ascii="Arial" w:hAnsi="Arial" w:cs="Arial"/>
          <w:sz w:val="20"/>
        </w:rPr>
      </w:pPr>
    </w:p>
    <w:p w14:paraId="6AB68E0B" w14:textId="525C3574" w:rsidR="00EA174D" w:rsidRPr="00430DA8" w:rsidRDefault="00EA174D" w:rsidP="00EA174D">
      <w:pPr>
        <w:ind w:left="720" w:firstLine="720"/>
        <w:contextualSpacing/>
        <w:rPr>
          <w:rFonts w:ascii="Arial" w:hAnsi="Arial" w:cs="Arial"/>
          <w:sz w:val="20"/>
          <w:u w:val="single"/>
        </w:rPr>
      </w:pPr>
      <w:r w:rsidRPr="00430DA8">
        <w:rPr>
          <w:rFonts w:ascii="Arial" w:hAnsi="Arial" w:cs="Arial"/>
          <w:sz w:val="20"/>
        </w:rPr>
        <w:t>Date:</w:t>
      </w:r>
      <w:r w:rsidRPr="00430DA8">
        <w:rPr>
          <w:rFonts w:ascii="Arial" w:hAnsi="Arial" w:cs="Arial"/>
          <w:sz w:val="20"/>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p>
    <w:p w14:paraId="689C48E9" w14:textId="1C602252" w:rsidR="00693E02" w:rsidRDefault="00693E02" w:rsidP="00EA174D">
      <w:pPr>
        <w:rPr>
          <w:rFonts w:ascii="Arial" w:hAnsi="Arial" w:cs="Arial"/>
          <w:sz w:val="20"/>
        </w:rPr>
      </w:pPr>
    </w:p>
    <w:p w14:paraId="2F115804" w14:textId="77777777" w:rsidR="00693E02" w:rsidRPr="00430DA8" w:rsidRDefault="00693E02" w:rsidP="00EA174D">
      <w:pPr>
        <w:rPr>
          <w:rFonts w:ascii="Arial" w:hAnsi="Arial" w:cs="Arial"/>
          <w:sz w:val="20"/>
        </w:rPr>
      </w:pPr>
    </w:p>
    <w:p w14:paraId="1C5BF78A" w14:textId="77777777" w:rsidR="00EA174D" w:rsidRPr="00430DA8" w:rsidRDefault="00EA174D" w:rsidP="00EA174D">
      <w:pPr>
        <w:rPr>
          <w:rFonts w:ascii="Arial" w:hAnsi="Arial" w:cs="Arial"/>
          <w:sz w:val="20"/>
        </w:rPr>
      </w:pPr>
    </w:p>
    <w:p w14:paraId="777A6270" w14:textId="7A7EBC18" w:rsidR="00693E02" w:rsidRPr="00693E02" w:rsidRDefault="00EA174D" w:rsidP="00693E02">
      <w:pPr>
        <w:jc w:val="both"/>
        <w:rPr>
          <w:rFonts w:ascii="Arial" w:hAnsi="Arial" w:cs="Arial"/>
          <w:sz w:val="20"/>
        </w:rPr>
      </w:pPr>
      <w:r w:rsidRPr="00430DA8">
        <w:rPr>
          <w:rFonts w:ascii="Arial" w:hAnsi="Arial" w:cs="Arial"/>
          <w:b/>
          <w:bCs/>
          <w:sz w:val="20"/>
        </w:rPr>
        <w:t>Please return to:</w:t>
      </w:r>
      <w:r w:rsidRPr="00430DA8">
        <w:rPr>
          <w:rFonts w:ascii="Arial" w:hAnsi="Arial" w:cs="Arial"/>
          <w:sz w:val="20"/>
        </w:rPr>
        <w:t xml:space="preserve"> John Michael Haynes, Incentives Division 804.545.5655, </w:t>
      </w:r>
      <w:hyperlink r:id="rId5" w:history="1">
        <w:r w:rsidR="008B53D3" w:rsidRPr="00430DA8">
          <w:rPr>
            <w:rStyle w:val="Hyperlink"/>
            <w:rFonts w:ascii="Arial" w:hAnsi="Arial" w:cs="Arial"/>
            <w:sz w:val="20"/>
          </w:rPr>
          <w:t>jmhaynes@vedp.org</w:t>
        </w:r>
      </w:hyperlink>
      <w:r w:rsidR="00693E02">
        <w:rPr>
          <w:rFonts w:ascii="Arial" w:hAnsi="Arial" w:cs="Arial"/>
          <w:b/>
          <w:sz w:val="22"/>
          <w:szCs w:val="22"/>
        </w:rPr>
        <w:br w:type="page"/>
      </w:r>
    </w:p>
    <w:p w14:paraId="75A8A7D1" w14:textId="3190DF09" w:rsidR="008B53D3" w:rsidRPr="00430DA8" w:rsidRDefault="008B53D3" w:rsidP="008B53D3">
      <w:pPr>
        <w:jc w:val="center"/>
        <w:rPr>
          <w:rFonts w:ascii="Arial" w:hAnsi="Arial" w:cs="Arial"/>
          <w:b/>
          <w:sz w:val="22"/>
          <w:szCs w:val="22"/>
        </w:rPr>
      </w:pPr>
      <w:r w:rsidRPr="00430DA8">
        <w:rPr>
          <w:rFonts w:ascii="Arial" w:hAnsi="Arial" w:cs="Arial"/>
          <w:b/>
          <w:sz w:val="22"/>
          <w:szCs w:val="22"/>
        </w:rPr>
        <w:lastRenderedPageBreak/>
        <w:t>ANNUAL POST-PERFORMANCE REPORT</w:t>
      </w:r>
    </w:p>
    <w:p w14:paraId="623AEC31" w14:textId="77777777" w:rsidR="008B53D3" w:rsidRPr="00430DA8" w:rsidRDefault="008B53D3" w:rsidP="008B53D3">
      <w:pPr>
        <w:jc w:val="center"/>
        <w:rPr>
          <w:rFonts w:ascii="Arial" w:hAnsi="Arial" w:cs="Arial"/>
          <w:b/>
          <w:sz w:val="22"/>
          <w:szCs w:val="22"/>
        </w:rPr>
      </w:pPr>
      <w:r w:rsidRPr="00430DA8">
        <w:rPr>
          <w:rFonts w:ascii="Arial" w:hAnsi="Arial" w:cs="Arial"/>
          <w:b/>
          <w:sz w:val="22"/>
          <w:szCs w:val="22"/>
        </w:rPr>
        <w:t>MEMORANDUM OF UNDERSTANDING</w:t>
      </w:r>
    </w:p>
    <w:p w14:paraId="098409F7" w14:textId="77777777" w:rsidR="008B53D3" w:rsidRPr="00430DA8" w:rsidRDefault="008B53D3" w:rsidP="008B53D3">
      <w:pPr>
        <w:jc w:val="center"/>
        <w:rPr>
          <w:rFonts w:ascii="Arial" w:hAnsi="Arial" w:cs="Arial"/>
          <w:b/>
          <w:sz w:val="22"/>
          <w:szCs w:val="22"/>
        </w:rPr>
      </w:pPr>
      <w:r w:rsidRPr="00430DA8">
        <w:rPr>
          <w:rFonts w:ascii="Arial" w:hAnsi="Arial" w:cs="Arial"/>
          <w:b/>
          <w:sz w:val="22"/>
          <w:szCs w:val="22"/>
        </w:rPr>
        <w:t>DATA CENTER RETAIL SALES &amp; USE TAX EXEMPTION</w:t>
      </w:r>
    </w:p>
    <w:p w14:paraId="297F0D5E" w14:textId="77777777" w:rsidR="008B53D3" w:rsidRPr="00430DA8" w:rsidRDefault="008B53D3" w:rsidP="008B53D3">
      <w:pPr>
        <w:jc w:val="center"/>
        <w:rPr>
          <w:rFonts w:ascii="Arial" w:hAnsi="Arial" w:cs="Arial"/>
          <w:b/>
          <w:sz w:val="22"/>
          <w:szCs w:val="22"/>
        </w:rPr>
      </w:pPr>
      <w:r w:rsidRPr="00430DA8">
        <w:rPr>
          <w:rFonts w:ascii="Arial" w:hAnsi="Arial" w:cs="Arial"/>
          <w:b/>
          <w:sz w:val="22"/>
          <w:szCs w:val="22"/>
        </w:rPr>
        <w:t xml:space="preserve">COLOCATION </w:t>
      </w:r>
    </w:p>
    <w:p w14:paraId="0A309150" w14:textId="77777777" w:rsidR="008B53D3" w:rsidRPr="00430DA8" w:rsidRDefault="008B53D3" w:rsidP="008B53D3">
      <w:pPr>
        <w:jc w:val="center"/>
        <w:rPr>
          <w:rFonts w:ascii="Arial" w:hAnsi="Arial" w:cs="Arial"/>
          <w:b/>
          <w:sz w:val="22"/>
          <w:szCs w:val="22"/>
        </w:rPr>
      </w:pPr>
    </w:p>
    <w:p w14:paraId="04436C74" w14:textId="77777777" w:rsidR="008B53D3" w:rsidRPr="00430DA8" w:rsidRDefault="008B53D3" w:rsidP="008B53D3">
      <w:pPr>
        <w:jc w:val="center"/>
        <w:rPr>
          <w:rFonts w:ascii="Arial" w:hAnsi="Arial" w:cs="Arial"/>
          <w:b/>
          <w:sz w:val="22"/>
          <w:szCs w:val="22"/>
        </w:rPr>
      </w:pPr>
      <w:r w:rsidRPr="00430DA8">
        <w:rPr>
          <w:rFonts w:ascii="Arial" w:hAnsi="Arial" w:cs="Arial"/>
          <w:b/>
          <w:sz w:val="22"/>
          <w:szCs w:val="22"/>
        </w:rPr>
        <w:t>EXHIBIT F</w:t>
      </w:r>
    </w:p>
    <w:p w14:paraId="0042DD63" w14:textId="77777777" w:rsidR="008B53D3" w:rsidRPr="00430DA8" w:rsidRDefault="008B53D3" w:rsidP="00EA174D">
      <w:pPr>
        <w:jc w:val="both"/>
        <w:rPr>
          <w:rFonts w:ascii="Arial" w:hAnsi="Arial" w:cs="Arial"/>
          <w:sz w:val="22"/>
          <w:szCs w:val="22"/>
        </w:rPr>
      </w:pPr>
    </w:p>
    <w:p w14:paraId="3CF5F497" w14:textId="77777777" w:rsidR="008B53D3" w:rsidRPr="00430DA8" w:rsidRDefault="008B53D3" w:rsidP="008B53D3">
      <w:pPr>
        <w:rPr>
          <w:rFonts w:ascii="Arial" w:hAnsi="Arial" w:cs="Arial"/>
          <w:b/>
          <w:sz w:val="22"/>
          <w:szCs w:val="22"/>
        </w:rPr>
      </w:pPr>
      <w:r w:rsidRPr="00430DA8">
        <w:rPr>
          <w:rFonts w:ascii="Arial" w:hAnsi="Arial" w:cs="Arial"/>
          <w:b/>
          <w:sz w:val="22"/>
          <w:szCs w:val="22"/>
        </w:rPr>
        <w:t>PROJECT SUMMARY</w:t>
      </w:r>
    </w:p>
    <w:tbl>
      <w:tblPr>
        <w:tblStyle w:val="TableGrid1"/>
        <w:tblW w:w="9355" w:type="dxa"/>
        <w:tblLook w:val="04A0" w:firstRow="1" w:lastRow="0" w:firstColumn="1" w:lastColumn="0" w:noHBand="0" w:noVBand="1"/>
      </w:tblPr>
      <w:tblGrid>
        <w:gridCol w:w="4225"/>
        <w:gridCol w:w="5130"/>
      </w:tblGrid>
      <w:tr w:rsidR="008B53D3" w:rsidRPr="00430DA8" w14:paraId="6871C887" w14:textId="77777777" w:rsidTr="00137BCE">
        <w:trPr>
          <w:trHeight w:val="360"/>
        </w:trPr>
        <w:tc>
          <w:tcPr>
            <w:tcW w:w="4225" w:type="dxa"/>
            <w:shd w:val="clear" w:color="auto" w:fill="1F3864" w:themeFill="accent1" w:themeFillShade="80"/>
            <w:vAlign w:val="center"/>
          </w:tcPr>
          <w:p w14:paraId="42B5110F" w14:textId="77777777" w:rsidR="008B53D3" w:rsidRPr="00430DA8" w:rsidRDefault="008B53D3"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Project</w:t>
            </w:r>
          </w:p>
        </w:tc>
        <w:tc>
          <w:tcPr>
            <w:tcW w:w="5130" w:type="dxa"/>
            <w:vAlign w:val="center"/>
          </w:tcPr>
          <w:p w14:paraId="375C3BE0" w14:textId="77777777" w:rsidR="008B53D3" w:rsidRPr="00430DA8" w:rsidRDefault="008B53D3" w:rsidP="00137BCE">
            <w:pPr>
              <w:rPr>
                <w:rFonts w:ascii="Arial" w:hAnsi="Arial" w:cs="Arial"/>
                <w:sz w:val="22"/>
                <w:szCs w:val="22"/>
              </w:rPr>
            </w:pPr>
          </w:p>
        </w:tc>
      </w:tr>
      <w:tr w:rsidR="008B53D3" w:rsidRPr="00430DA8" w14:paraId="37DC86E6" w14:textId="77777777" w:rsidTr="00137BCE">
        <w:trPr>
          <w:trHeight w:val="360"/>
        </w:trPr>
        <w:tc>
          <w:tcPr>
            <w:tcW w:w="4225" w:type="dxa"/>
            <w:shd w:val="clear" w:color="auto" w:fill="1F3864" w:themeFill="accent1" w:themeFillShade="80"/>
            <w:vAlign w:val="center"/>
          </w:tcPr>
          <w:p w14:paraId="7026E02C" w14:textId="77777777" w:rsidR="008B53D3" w:rsidRPr="00430DA8" w:rsidRDefault="008B53D3"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Locality (City or County)</w:t>
            </w:r>
          </w:p>
        </w:tc>
        <w:tc>
          <w:tcPr>
            <w:tcW w:w="5130" w:type="dxa"/>
            <w:vAlign w:val="center"/>
          </w:tcPr>
          <w:p w14:paraId="1E72DEDD" w14:textId="77777777" w:rsidR="008B53D3" w:rsidRPr="00430DA8" w:rsidRDefault="008B53D3" w:rsidP="00137BCE">
            <w:pPr>
              <w:rPr>
                <w:rFonts w:ascii="Arial" w:hAnsi="Arial" w:cs="Arial"/>
                <w:sz w:val="22"/>
                <w:szCs w:val="22"/>
              </w:rPr>
            </w:pPr>
          </w:p>
        </w:tc>
      </w:tr>
      <w:tr w:rsidR="008B53D3" w:rsidRPr="00430DA8" w14:paraId="1EFC335F" w14:textId="77777777" w:rsidTr="00137BCE">
        <w:trPr>
          <w:trHeight w:val="360"/>
        </w:trPr>
        <w:tc>
          <w:tcPr>
            <w:tcW w:w="4225" w:type="dxa"/>
            <w:shd w:val="clear" w:color="auto" w:fill="1F3864" w:themeFill="accent1" w:themeFillShade="80"/>
            <w:vAlign w:val="center"/>
          </w:tcPr>
          <w:p w14:paraId="222FEB64" w14:textId="0DD6F160" w:rsidR="008B53D3" w:rsidRPr="00430DA8" w:rsidRDefault="008B53D3"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Reporting Period</w:t>
            </w:r>
          </w:p>
        </w:tc>
        <w:tc>
          <w:tcPr>
            <w:tcW w:w="5130" w:type="dxa"/>
            <w:vAlign w:val="center"/>
          </w:tcPr>
          <w:p w14:paraId="236619E5" w14:textId="19189E53" w:rsidR="008B53D3" w:rsidRPr="00430DA8" w:rsidRDefault="008B53D3" w:rsidP="00137BCE">
            <w:pPr>
              <w:rPr>
                <w:rFonts w:ascii="Arial" w:hAnsi="Arial" w:cs="Arial"/>
                <w:sz w:val="22"/>
                <w:szCs w:val="22"/>
              </w:rPr>
            </w:pPr>
            <w:r w:rsidRPr="00430DA8">
              <w:rPr>
                <w:rFonts w:ascii="Arial" w:hAnsi="Arial" w:cs="Arial"/>
                <w:sz w:val="22"/>
                <w:szCs w:val="22"/>
              </w:rPr>
              <w:t>July 1, 20__ through June 30, 20__</w:t>
            </w:r>
          </w:p>
        </w:tc>
      </w:tr>
      <w:tr w:rsidR="008B53D3" w:rsidRPr="00430DA8" w14:paraId="7C57C97C" w14:textId="77777777" w:rsidTr="00137BCE">
        <w:trPr>
          <w:trHeight w:val="360"/>
        </w:trPr>
        <w:tc>
          <w:tcPr>
            <w:tcW w:w="4225" w:type="dxa"/>
            <w:shd w:val="clear" w:color="auto" w:fill="1F3864" w:themeFill="accent1" w:themeFillShade="80"/>
            <w:vAlign w:val="center"/>
          </w:tcPr>
          <w:p w14:paraId="4C4B7A6F" w14:textId="19417FC3" w:rsidR="008B53D3" w:rsidRPr="00430DA8" w:rsidRDefault="008B53D3"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Date of Letter of Satisfaction</w:t>
            </w:r>
          </w:p>
        </w:tc>
        <w:tc>
          <w:tcPr>
            <w:tcW w:w="5130" w:type="dxa"/>
            <w:shd w:val="clear" w:color="auto" w:fill="auto"/>
            <w:vAlign w:val="center"/>
          </w:tcPr>
          <w:p w14:paraId="06A4D3A3" w14:textId="00CF1FA7" w:rsidR="008B53D3" w:rsidRPr="00430DA8" w:rsidRDefault="008B53D3" w:rsidP="00137BCE">
            <w:pPr>
              <w:rPr>
                <w:rFonts w:ascii="Arial" w:hAnsi="Arial" w:cs="Arial"/>
                <w:sz w:val="22"/>
                <w:szCs w:val="22"/>
              </w:rPr>
            </w:pPr>
          </w:p>
        </w:tc>
      </w:tr>
    </w:tbl>
    <w:p w14:paraId="20A1A049" w14:textId="4EEB04A7" w:rsidR="006C1590" w:rsidRPr="00430DA8" w:rsidRDefault="008B53D3" w:rsidP="008B53D3">
      <w:pPr>
        <w:jc w:val="both"/>
        <w:rPr>
          <w:rFonts w:ascii="Arial" w:hAnsi="Arial" w:cs="Arial"/>
          <w:i/>
          <w:iCs/>
          <w:sz w:val="16"/>
          <w:szCs w:val="16"/>
        </w:rPr>
      </w:pPr>
      <w:r w:rsidRPr="00430DA8">
        <w:rPr>
          <w:rFonts w:ascii="Arial" w:hAnsi="Arial" w:cs="Arial"/>
          <w:i/>
          <w:iCs/>
          <w:sz w:val="16"/>
          <w:szCs w:val="16"/>
        </w:rPr>
        <w:t xml:space="preserve">Per the Code of Virginia § 58.1-609.3, VEDP shall publish a biennial report on the Data Center Retail Sales and Use Tax Exemption to include aggregate information on qualifying expenses claimed under this </w:t>
      </w:r>
      <w:r w:rsidR="00CB1A51">
        <w:rPr>
          <w:rFonts w:ascii="Arial" w:hAnsi="Arial" w:cs="Arial"/>
          <w:i/>
          <w:iCs/>
          <w:sz w:val="16"/>
          <w:szCs w:val="16"/>
        </w:rPr>
        <w:t>E</w:t>
      </w:r>
      <w:r w:rsidRPr="00430DA8">
        <w:rPr>
          <w:rFonts w:ascii="Arial" w:hAnsi="Arial" w:cs="Arial"/>
          <w:i/>
          <w:iCs/>
          <w:sz w:val="16"/>
          <w:szCs w:val="16"/>
        </w:rPr>
        <w:t xml:space="preserve">xemption, the total value of the tax benefit, a return-on-investment analysis that includes direct and indirect jobs created by data center investment, state and local tax revenues generated to demonstrate the costs and benefits of the </w:t>
      </w:r>
      <w:r w:rsidR="00CB1A51">
        <w:rPr>
          <w:rFonts w:ascii="Arial" w:hAnsi="Arial" w:cs="Arial"/>
          <w:i/>
          <w:iCs/>
          <w:sz w:val="16"/>
          <w:szCs w:val="16"/>
        </w:rPr>
        <w:t>E</w:t>
      </w:r>
      <w:r w:rsidRPr="00430DA8">
        <w:rPr>
          <w:rFonts w:ascii="Arial" w:hAnsi="Arial" w:cs="Arial"/>
          <w:i/>
          <w:iCs/>
          <w:sz w:val="16"/>
          <w:szCs w:val="16"/>
        </w:rPr>
        <w:t>xemption. The data provided in this report will be used as part of the analysis for the biennial report, and other reporting to include job creation and capital investments in ranges such that the information could not be used to identify a business or individual taxpayer.</w:t>
      </w:r>
    </w:p>
    <w:p w14:paraId="43C996E2" w14:textId="27AE42D4" w:rsidR="008B53D3" w:rsidRPr="00430DA8" w:rsidRDefault="008B53D3" w:rsidP="008B53D3">
      <w:pPr>
        <w:jc w:val="both"/>
        <w:rPr>
          <w:rFonts w:ascii="Arial" w:hAnsi="Arial" w:cs="Arial"/>
          <w:i/>
          <w:iCs/>
          <w:sz w:val="16"/>
          <w:szCs w:val="16"/>
        </w:rPr>
      </w:pPr>
    </w:p>
    <w:p w14:paraId="7A20E3FA" w14:textId="77777777" w:rsidR="00105680" w:rsidRPr="00430DA8" w:rsidRDefault="00105680" w:rsidP="008B53D3">
      <w:pPr>
        <w:rPr>
          <w:rFonts w:ascii="Arial" w:hAnsi="Arial" w:cs="Arial"/>
          <w:b/>
          <w:sz w:val="22"/>
          <w:szCs w:val="22"/>
        </w:rPr>
      </w:pPr>
    </w:p>
    <w:p w14:paraId="6BAB8D95" w14:textId="1788E75F" w:rsidR="00692F1F" w:rsidRPr="00430DA8" w:rsidRDefault="00692F1F" w:rsidP="008B53D3">
      <w:pPr>
        <w:rPr>
          <w:rFonts w:ascii="Arial" w:hAnsi="Arial" w:cs="Arial"/>
          <w:b/>
          <w:sz w:val="22"/>
          <w:szCs w:val="22"/>
        </w:rPr>
      </w:pPr>
      <w:r w:rsidRPr="00430DA8">
        <w:rPr>
          <w:rFonts w:ascii="Arial" w:hAnsi="Arial" w:cs="Arial"/>
          <w:b/>
          <w:sz w:val="22"/>
          <w:szCs w:val="22"/>
        </w:rPr>
        <w:t>CAPITAL INVESTMENT DURING 12-MONTH REPORTING PERIOD</w:t>
      </w:r>
    </w:p>
    <w:tbl>
      <w:tblPr>
        <w:tblStyle w:val="TableGrid"/>
        <w:tblW w:w="9360" w:type="dxa"/>
        <w:tblInd w:w="-5" w:type="dxa"/>
        <w:tblLook w:val="04A0" w:firstRow="1" w:lastRow="0" w:firstColumn="1" w:lastColumn="0" w:noHBand="0" w:noVBand="1"/>
      </w:tblPr>
      <w:tblGrid>
        <w:gridCol w:w="4230"/>
        <w:gridCol w:w="5130"/>
      </w:tblGrid>
      <w:tr w:rsidR="00692F1F" w:rsidRPr="00430DA8" w14:paraId="3AC4B0A1" w14:textId="77777777" w:rsidTr="00692F1F">
        <w:trPr>
          <w:trHeight w:val="432"/>
        </w:trPr>
        <w:tc>
          <w:tcPr>
            <w:tcW w:w="4230" w:type="dxa"/>
            <w:shd w:val="clear" w:color="auto" w:fill="1F3864" w:themeFill="accent1" w:themeFillShade="80"/>
            <w:vAlign w:val="center"/>
          </w:tcPr>
          <w:p w14:paraId="5FD71229" w14:textId="29761296" w:rsidR="00692F1F" w:rsidRPr="00430DA8" w:rsidRDefault="00692F1F"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Capital Investment Breakdown</w:t>
            </w:r>
            <w:r w:rsidRPr="00430DA8">
              <w:rPr>
                <w:rFonts w:ascii="Arial" w:hAnsi="Arial" w:cs="Arial"/>
                <w:b/>
                <w:color w:val="FFFFFF" w:themeColor="background1"/>
                <w:sz w:val="22"/>
                <w:szCs w:val="22"/>
                <w:vertAlign w:val="superscript"/>
              </w:rPr>
              <w:t>1</w:t>
            </w:r>
          </w:p>
        </w:tc>
        <w:tc>
          <w:tcPr>
            <w:tcW w:w="5130" w:type="dxa"/>
            <w:shd w:val="clear" w:color="auto" w:fill="1F3864" w:themeFill="accent1" w:themeFillShade="80"/>
            <w:vAlign w:val="center"/>
          </w:tcPr>
          <w:p w14:paraId="58E09518" w14:textId="77777777" w:rsidR="00692F1F" w:rsidRPr="00430DA8" w:rsidRDefault="00692F1F"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Amount</w:t>
            </w:r>
          </w:p>
        </w:tc>
      </w:tr>
      <w:tr w:rsidR="00692F1F" w:rsidRPr="00430DA8" w14:paraId="61D26411" w14:textId="77777777" w:rsidTr="00137BCE">
        <w:trPr>
          <w:trHeight w:val="360"/>
        </w:trPr>
        <w:tc>
          <w:tcPr>
            <w:tcW w:w="4230" w:type="dxa"/>
            <w:vAlign w:val="center"/>
          </w:tcPr>
          <w:p w14:paraId="26B8F472" w14:textId="77777777" w:rsidR="00692F1F" w:rsidRPr="00430DA8" w:rsidRDefault="00692F1F" w:rsidP="00137BCE">
            <w:pPr>
              <w:rPr>
                <w:rFonts w:ascii="Arial" w:hAnsi="Arial" w:cs="Arial"/>
                <w:sz w:val="22"/>
                <w:szCs w:val="22"/>
              </w:rPr>
            </w:pPr>
            <w:r w:rsidRPr="00430DA8">
              <w:rPr>
                <w:rFonts w:ascii="Arial" w:hAnsi="Arial" w:cs="Arial"/>
                <w:sz w:val="22"/>
                <w:szCs w:val="22"/>
              </w:rPr>
              <w:t>Land/Building Acquisition</w:t>
            </w:r>
          </w:p>
        </w:tc>
        <w:tc>
          <w:tcPr>
            <w:tcW w:w="5130" w:type="dxa"/>
            <w:vAlign w:val="center"/>
          </w:tcPr>
          <w:p w14:paraId="208678BB" w14:textId="77777777" w:rsidR="00692F1F" w:rsidRPr="00430DA8" w:rsidRDefault="00692F1F" w:rsidP="00137BCE">
            <w:pPr>
              <w:rPr>
                <w:rFonts w:ascii="Arial" w:hAnsi="Arial" w:cs="Arial"/>
                <w:sz w:val="22"/>
                <w:szCs w:val="22"/>
              </w:rPr>
            </w:pPr>
          </w:p>
        </w:tc>
      </w:tr>
      <w:tr w:rsidR="00692F1F" w:rsidRPr="00430DA8" w14:paraId="49A7DD24" w14:textId="77777777" w:rsidTr="00137BCE">
        <w:trPr>
          <w:trHeight w:val="360"/>
        </w:trPr>
        <w:tc>
          <w:tcPr>
            <w:tcW w:w="4230" w:type="dxa"/>
            <w:vAlign w:val="center"/>
          </w:tcPr>
          <w:p w14:paraId="5F55BA9D" w14:textId="77777777" w:rsidR="00692F1F" w:rsidRPr="00430DA8" w:rsidRDefault="00692F1F" w:rsidP="00137BCE">
            <w:pPr>
              <w:rPr>
                <w:rFonts w:ascii="Arial" w:hAnsi="Arial" w:cs="Arial"/>
                <w:sz w:val="22"/>
                <w:szCs w:val="22"/>
              </w:rPr>
            </w:pPr>
            <w:r w:rsidRPr="00430DA8">
              <w:rPr>
                <w:rFonts w:ascii="Arial" w:hAnsi="Arial" w:cs="Arial"/>
                <w:sz w:val="22"/>
                <w:szCs w:val="22"/>
              </w:rPr>
              <w:t>Site Improvements</w:t>
            </w:r>
          </w:p>
        </w:tc>
        <w:tc>
          <w:tcPr>
            <w:tcW w:w="5130" w:type="dxa"/>
            <w:vAlign w:val="center"/>
          </w:tcPr>
          <w:p w14:paraId="76E4FC16" w14:textId="77777777" w:rsidR="00692F1F" w:rsidRPr="00430DA8" w:rsidRDefault="00692F1F" w:rsidP="00137BCE">
            <w:pPr>
              <w:rPr>
                <w:rFonts w:ascii="Arial" w:hAnsi="Arial" w:cs="Arial"/>
                <w:sz w:val="22"/>
                <w:szCs w:val="22"/>
              </w:rPr>
            </w:pPr>
          </w:p>
        </w:tc>
      </w:tr>
      <w:tr w:rsidR="00692F1F" w:rsidRPr="00430DA8" w14:paraId="38849BDA" w14:textId="77777777" w:rsidTr="00137BCE">
        <w:trPr>
          <w:trHeight w:val="360"/>
        </w:trPr>
        <w:tc>
          <w:tcPr>
            <w:tcW w:w="4230" w:type="dxa"/>
            <w:vAlign w:val="center"/>
          </w:tcPr>
          <w:p w14:paraId="47DB7F60" w14:textId="77777777" w:rsidR="00692F1F" w:rsidRPr="00430DA8" w:rsidRDefault="00692F1F" w:rsidP="00137BCE">
            <w:pPr>
              <w:rPr>
                <w:rFonts w:ascii="Arial" w:hAnsi="Arial" w:cs="Arial"/>
                <w:sz w:val="22"/>
                <w:szCs w:val="22"/>
              </w:rPr>
            </w:pPr>
            <w:r w:rsidRPr="00430DA8">
              <w:rPr>
                <w:rFonts w:ascii="Arial" w:hAnsi="Arial" w:cs="Arial"/>
                <w:sz w:val="22"/>
                <w:szCs w:val="22"/>
              </w:rPr>
              <w:t>Real Property/Building Improvements</w:t>
            </w:r>
          </w:p>
        </w:tc>
        <w:tc>
          <w:tcPr>
            <w:tcW w:w="5130" w:type="dxa"/>
            <w:vAlign w:val="center"/>
          </w:tcPr>
          <w:p w14:paraId="4AB262C9" w14:textId="77777777" w:rsidR="00692F1F" w:rsidRPr="00430DA8" w:rsidRDefault="00692F1F" w:rsidP="00137BCE">
            <w:pPr>
              <w:rPr>
                <w:rFonts w:ascii="Arial" w:hAnsi="Arial" w:cs="Arial"/>
                <w:sz w:val="22"/>
                <w:szCs w:val="22"/>
              </w:rPr>
            </w:pPr>
          </w:p>
        </w:tc>
      </w:tr>
      <w:tr w:rsidR="00692F1F" w:rsidRPr="00430DA8" w14:paraId="6A99923A" w14:textId="77777777" w:rsidTr="00137BCE">
        <w:trPr>
          <w:trHeight w:val="360"/>
        </w:trPr>
        <w:tc>
          <w:tcPr>
            <w:tcW w:w="4230" w:type="dxa"/>
            <w:vAlign w:val="center"/>
          </w:tcPr>
          <w:p w14:paraId="525BC413" w14:textId="77777777" w:rsidR="00692F1F" w:rsidRPr="00430DA8" w:rsidRDefault="00692F1F" w:rsidP="00137BCE">
            <w:pPr>
              <w:rPr>
                <w:rFonts w:ascii="Arial" w:hAnsi="Arial" w:cs="Arial"/>
                <w:sz w:val="22"/>
                <w:szCs w:val="22"/>
              </w:rPr>
            </w:pPr>
            <w:r w:rsidRPr="00430DA8">
              <w:rPr>
                <w:rFonts w:ascii="Arial" w:hAnsi="Arial" w:cs="Arial"/>
                <w:sz w:val="22"/>
                <w:szCs w:val="22"/>
              </w:rPr>
              <w:t>Taxable Tangible Property</w:t>
            </w:r>
          </w:p>
        </w:tc>
        <w:tc>
          <w:tcPr>
            <w:tcW w:w="5130" w:type="dxa"/>
            <w:vAlign w:val="center"/>
          </w:tcPr>
          <w:p w14:paraId="257DEA7D" w14:textId="77777777" w:rsidR="00692F1F" w:rsidRPr="00430DA8" w:rsidRDefault="00692F1F" w:rsidP="00137BCE">
            <w:pPr>
              <w:rPr>
                <w:rFonts w:ascii="Arial" w:hAnsi="Arial" w:cs="Arial"/>
                <w:sz w:val="22"/>
                <w:szCs w:val="22"/>
              </w:rPr>
            </w:pPr>
          </w:p>
        </w:tc>
      </w:tr>
      <w:tr w:rsidR="00692F1F" w:rsidRPr="00430DA8" w14:paraId="361E3244" w14:textId="77777777" w:rsidTr="00137BCE">
        <w:trPr>
          <w:trHeight w:val="360"/>
        </w:trPr>
        <w:tc>
          <w:tcPr>
            <w:tcW w:w="4230" w:type="dxa"/>
            <w:vAlign w:val="center"/>
          </w:tcPr>
          <w:p w14:paraId="208BAC97" w14:textId="19970E2E" w:rsidR="00692F1F" w:rsidRPr="00430DA8" w:rsidRDefault="00692F1F" w:rsidP="00137BCE">
            <w:pPr>
              <w:rPr>
                <w:rFonts w:ascii="Arial" w:hAnsi="Arial" w:cs="Arial"/>
                <w:sz w:val="22"/>
                <w:szCs w:val="22"/>
              </w:rPr>
            </w:pPr>
            <w:r w:rsidRPr="00430DA8">
              <w:rPr>
                <w:rFonts w:ascii="Arial" w:hAnsi="Arial" w:cs="Arial"/>
                <w:sz w:val="22"/>
                <w:szCs w:val="22"/>
              </w:rPr>
              <w:t>Exempt Equipment or Software</w:t>
            </w:r>
            <w:r w:rsidR="00105680" w:rsidRPr="00430DA8">
              <w:rPr>
                <w:rFonts w:ascii="Arial" w:hAnsi="Arial" w:cs="Arial"/>
                <w:sz w:val="22"/>
                <w:szCs w:val="22"/>
                <w:vertAlign w:val="superscript"/>
              </w:rPr>
              <w:t>2</w:t>
            </w:r>
          </w:p>
        </w:tc>
        <w:tc>
          <w:tcPr>
            <w:tcW w:w="5130" w:type="dxa"/>
            <w:vAlign w:val="center"/>
          </w:tcPr>
          <w:p w14:paraId="2968D773" w14:textId="77777777" w:rsidR="00692F1F" w:rsidRPr="00430DA8" w:rsidRDefault="00692F1F" w:rsidP="00137BCE">
            <w:pPr>
              <w:rPr>
                <w:rFonts w:ascii="Arial" w:hAnsi="Arial" w:cs="Arial"/>
                <w:sz w:val="22"/>
                <w:szCs w:val="22"/>
              </w:rPr>
            </w:pPr>
          </w:p>
        </w:tc>
      </w:tr>
      <w:tr w:rsidR="00692F1F" w:rsidRPr="00430DA8" w14:paraId="3D888326" w14:textId="77777777" w:rsidTr="00137BCE">
        <w:trPr>
          <w:trHeight w:val="360"/>
        </w:trPr>
        <w:tc>
          <w:tcPr>
            <w:tcW w:w="4230" w:type="dxa"/>
            <w:vAlign w:val="center"/>
          </w:tcPr>
          <w:p w14:paraId="3F7B2C3A" w14:textId="77777777" w:rsidR="00692F1F" w:rsidRPr="00430DA8" w:rsidRDefault="00692F1F" w:rsidP="00137BCE">
            <w:pPr>
              <w:rPr>
                <w:rFonts w:ascii="Arial" w:hAnsi="Arial" w:cs="Arial"/>
                <w:sz w:val="22"/>
                <w:szCs w:val="22"/>
              </w:rPr>
            </w:pPr>
            <w:r w:rsidRPr="00430DA8">
              <w:rPr>
                <w:rFonts w:ascii="Arial" w:hAnsi="Arial" w:cs="Arial"/>
                <w:sz w:val="22"/>
                <w:szCs w:val="22"/>
              </w:rPr>
              <w:t>Other</w:t>
            </w:r>
          </w:p>
        </w:tc>
        <w:tc>
          <w:tcPr>
            <w:tcW w:w="5130" w:type="dxa"/>
            <w:vAlign w:val="center"/>
          </w:tcPr>
          <w:p w14:paraId="735C7885" w14:textId="77777777" w:rsidR="00692F1F" w:rsidRPr="00430DA8" w:rsidRDefault="00692F1F" w:rsidP="00137BCE">
            <w:pPr>
              <w:rPr>
                <w:rFonts w:ascii="Arial" w:hAnsi="Arial" w:cs="Arial"/>
                <w:sz w:val="22"/>
                <w:szCs w:val="22"/>
              </w:rPr>
            </w:pPr>
          </w:p>
        </w:tc>
      </w:tr>
      <w:tr w:rsidR="00692F1F" w:rsidRPr="00430DA8" w14:paraId="16B17EDC" w14:textId="77777777" w:rsidTr="00692F1F">
        <w:trPr>
          <w:trHeight w:val="360"/>
        </w:trPr>
        <w:tc>
          <w:tcPr>
            <w:tcW w:w="4230" w:type="dxa"/>
            <w:shd w:val="clear" w:color="auto" w:fill="1F3864" w:themeFill="accent1" w:themeFillShade="80"/>
            <w:vAlign w:val="center"/>
          </w:tcPr>
          <w:p w14:paraId="391C13F5" w14:textId="2D09F0D9" w:rsidR="00692F1F" w:rsidRPr="00430DA8" w:rsidRDefault="00692F1F" w:rsidP="00137BCE">
            <w:pPr>
              <w:rPr>
                <w:rFonts w:ascii="Arial" w:hAnsi="Arial" w:cs="Arial"/>
                <w:b/>
                <w:sz w:val="22"/>
                <w:szCs w:val="22"/>
              </w:rPr>
            </w:pPr>
            <w:r w:rsidRPr="00430DA8">
              <w:rPr>
                <w:rFonts w:ascii="Arial" w:hAnsi="Arial" w:cs="Arial"/>
                <w:b/>
                <w:color w:val="FFFFFF" w:themeColor="background1"/>
                <w:sz w:val="22"/>
                <w:szCs w:val="22"/>
              </w:rPr>
              <w:t xml:space="preserve">Total Capital Investment </w:t>
            </w:r>
          </w:p>
        </w:tc>
        <w:tc>
          <w:tcPr>
            <w:tcW w:w="5130" w:type="dxa"/>
            <w:vAlign w:val="center"/>
          </w:tcPr>
          <w:p w14:paraId="05367EF7" w14:textId="77777777" w:rsidR="00692F1F" w:rsidRPr="00430DA8" w:rsidRDefault="00692F1F" w:rsidP="00137BCE">
            <w:pPr>
              <w:rPr>
                <w:rFonts w:ascii="Arial" w:hAnsi="Arial" w:cs="Arial"/>
                <w:b/>
                <w:sz w:val="22"/>
                <w:szCs w:val="22"/>
              </w:rPr>
            </w:pPr>
            <w:r w:rsidRPr="00430DA8">
              <w:rPr>
                <w:rFonts w:ascii="Arial" w:hAnsi="Arial" w:cs="Arial"/>
                <w:b/>
                <w:sz w:val="22"/>
                <w:szCs w:val="22"/>
              </w:rPr>
              <w:t xml:space="preserve">$                        </w:t>
            </w:r>
          </w:p>
        </w:tc>
      </w:tr>
    </w:tbl>
    <w:p w14:paraId="5C7F1363" w14:textId="6AF2FD83" w:rsidR="00692F1F" w:rsidRPr="00430DA8" w:rsidRDefault="00692F1F" w:rsidP="00692F1F">
      <w:pPr>
        <w:ind w:left="90" w:hanging="90"/>
        <w:jc w:val="both"/>
        <w:rPr>
          <w:rFonts w:ascii="Arial" w:hAnsi="Arial" w:cs="Arial"/>
          <w:sz w:val="16"/>
          <w:szCs w:val="16"/>
        </w:rPr>
      </w:pPr>
      <w:r w:rsidRPr="00430DA8">
        <w:rPr>
          <w:rFonts w:ascii="Arial" w:hAnsi="Arial" w:cs="Arial"/>
          <w:sz w:val="16"/>
          <w:szCs w:val="16"/>
          <w:vertAlign w:val="superscript"/>
        </w:rPr>
        <w:t xml:space="preserve">1 </w:t>
      </w:r>
      <w:r w:rsidRPr="00430DA8">
        <w:rPr>
          <w:rFonts w:ascii="Arial" w:hAnsi="Arial" w:cs="Arial"/>
          <w:sz w:val="16"/>
          <w:szCs w:val="16"/>
        </w:rPr>
        <w:t xml:space="preserve">Capital investment shall include the total capital investment made by the Group in each category during the 12-month Reporting Period. Capital investment figures should exclude any investments previously reported to VEDP through Annual or Final Performance Reports or previous Post-Performance Reports. If the Group did not invest in a particular category, please enter $0. </w:t>
      </w:r>
    </w:p>
    <w:p w14:paraId="5F5C4027" w14:textId="7DEB3AC0" w:rsidR="00105680" w:rsidRPr="00430DA8" w:rsidRDefault="00105680" w:rsidP="00105680">
      <w:pPr>
        <w:ind w:left="90" w:hanging="90"/>
        <w:jc w:val="both"/>
        <w:rPr>
          <w:rFonts w:ascii="Arial" w:hAnsi="Arial" w:cs="Arial"/>
          <w:sz w:val="16"/>
          <w:szCs w:val="16"/>
        </w:rPr>
      </w:pPr>
      <w:r w:rsidRPr="00430DA8">
        <w:rPr>
          <w:rFonts w:ascii="Arial" w:hAnsi="Arial" w:cs="Arial"/>
          <w:sz w:val="16"/>
          <w:szCs w:val="16"/>
          <w:vertAlign w:val="superscript"/>
        </w:rPr>
        <w:t>2</w:t>
      </w:r>
      <w:r w:rsidRPr="00430DA8">
        <w:rPr>
          <w:rFonts w:ascii="Arial" w:hAnsi="Arial" w:cs="Arial"/>
          <w:sz w:val="16"/>
          <w:szCs w:val="16"/>
        </w:rPr>
        <w:t xml:space="preserve"> The Commission of the Virginia Department of Taxation (TAX) has approved a list of equipment and software that qualifies for the DCRSUTE Exemption. The complete list of the </w:t>
      </w:r>
      <w:r w:rsidR="00CB1A51">
        <w:rPr>
          <w:rFonts w:ascii="Arial" w:hAnsi="Arial" w:cs="Arial"/>
          <w:sz w:val="16"/>
          <w:szCs w:val="16"/>
        </w:rPr>
        <w:t>qualified</w:t>
      </w:r>
      <w:r w:rsidRPr="00430DA8">
        <w:rPr>
          <w:rFonts w:ascii="Arial" w:hAnsi="Arial" w:cs="Arial"/>
          <w:sz w:val="16"/>
          <w:szCs w:val="16"/>
        </w:rPr>
        <w:t xml:space="preserve"> equipment can be found on page 2 of the DCRSUT Exemption Information Packet. </w:t>
      </w:r>
    </w:p>
    <w:p w14:paraId="77144306" w14:textId="77777777" w:rsidR="00105680" w:rsidRPr="00430DA8" w:rsidRDefault="00105680" w:rsidP="00692F1F">
      <w:pPr>
        <w:ind w:left="90" w:hanging="90"/>
        <w:jc w:val="both"/>
        <w:rPr>
          <w:rFonts w:ascii="Arial" w:hAnsi="Arial" w:cs="Arial"/>
          <w:sz w:val="16"/>
          <w:szCs w:val="16"/>
        </w:rPr>
      </w:pPr>
    </w:p>
    <w:p w14:paraId="0602B0D2" w14:textId="30461C11" w:rsidR="00105680" w:rsidRPr="00430DA8" w:rsidRDefault="00105680" w:rsidP="00692F1F">
      <w:pPr>
        <w:ind w:left="90" w:hanging="90"/>
        <w:jc w:val="both"/>
        <w:rPr>
          <w:rFonts w:ascii="Arial" w:hAnsi="Arial" w:cs="Arial"/>
          <w:sz w:val="16"/>
          <w:szCs w:val="16"/>
        </w:rPr>
      </w:pPr>
    </w:p>
    <w:tbl>
      <w:tblPr>
        <w:tblStyle w:val="TableGrid1"/>
        <w:tblW w:w="9355" w:type="dxa"/>
        <w:tblLook w:val="04A0" w:firstRow="1" w:lastRow="0" w:firstColumn="1" w:lastColumn="0" w:noHBand="0" w:noVBand="1"/>
      </w:tblPr>
      <w:tblGrid>
        <w:gridCol w:w="4225"/>
        <w:gridCol w:w="5130"/>
      </w:tblGrid>
      <w:tr w:rsidR="00105680" w:rsidRPr="00430DA8" w14:paraId="13C03331" w14:textId="77777777" w:rsidTr="00105680">
        <w:trPr>
          <w:trHeight w:val="965"/>
        </w:trPr>
        <w:tc>
          <w:tcPr>
            <w:tcW w:w="4225" w:type="dxa"/>
            <w:shd w:val="clear" w:color="auto" w:fill="1F3864" w:themeFill="accent1" w:themeFillShade="80"/>
            <w:vAlign w:val="center"/>
          </w:tcPr>
          <w:p w14:paraId="43B5B554" w14:textId="0AC91135" w:rsidR="00105680" w:rsidRPr="00430DA8" w:rsidRDefault="00105680"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During this 12-month Reporting Period, did any member of the Group undertake either of the following activities?</w:t>
            </w:r>
          </w:p>
        </w:tc>
        <w:tc>
          <w:tcPr>
            <w:tcW w:w="5130" w:type="dxa"/>
            <w:tcBorders>
              <w:right w:val="single" w:sz="4" w:space="0" w:color="auto"/>
            </w:tcBorders>
            <w:vAlign w:val="center"/>
          </w:tcPr>
          <w:p w14:paraId="2CFA273E" w14:textId="0CB4AE88" w:rsidR="00105680" w:rsidRPr="00430DA8" w:rsidRDefault="00E72FD8" w:rsidP="00137BCE">
            <w:pPr>
              <w:rPr>
                <w:rFonts w:ascii="Arial" w:hAnsi="Arial" w:cs="Arial"/>
                <w:sz w:val="22"/>
                <w:szCs w:val="22"/>
              </w:rPr>
            </w:pPr>
            <w:sdt>
              <w:sdtPr>
                <w:rPr>
                  <w:rFonts w:ascii="Arial" w:hAnsi="Arial" w:cs="Arial"/>
                  <w:sz w:val="22"/>
                  <w:szCs w:val="22"/>
                </w:rPr>
                <w:id w:val="1613162337"/>
                <w14:checkbox>
                  <w14:checked w14:val="0"/>
                  <w14:checkedState w14:val="2612" w14:font="MS Gothic"/>
                  <w14:uncheckedState w14:val="2610" w14:font="MS Gothic"/>
                </w14:checkbox>
              </w:sdtPr>
              <w:sdtEndPr/>
              <w:sdtContent>
                <w:r w:rsidR="00105680" w:rsidRPr="00430DA8">
                  <w:rPr>
                    <w:rFonts w:ascii="Segoe UI Symbol" w:eastAsia="MS Gothic" w:hAnsi="Segoe UI Symbol" w:cs="Segoe UI Symbol"/>
                    <w:sz w:val="22"/>
                    <w:szCs w:val="22"/>
                  </w:rPr>
                  <w:t>☐</w:t>
                </w:r>
              </w:sdtContent>
            </w:sdt>
            <w:r w:rsidR="00105680" w:rsidRPr="00430DA8">
              <w:rPr>
                <w:rFonts w:ascii="Arial" w:hAnsi="Arial" w:cs="Arial"/>
                <w:sz w:val="22"/>
                <w:szCs w:val="22"/>
              </w:rPr>
              <w:t xml:space="preserve"> New Construction</w:t>
            </w:r>
            <w:r w:rsidR="00105680" w:rsidRPr="00430DA8">
              <w:rPr>
                <w:rFonts w:ascii="Arial" w:hAnsi="Arial" w:cs="Arial"/>
                <w:sz w:val="22"/>
                <w:szCs w:val="22"/>
                <w:vertAlign w:val="superscript"/>
              </w:rPr>
              <w:t>3</w:t>
            </w:r>
            <w:r w:rsidR="00105680" w:rsidRPr="00430DA8">
              <w:rPr>
                <w:rFonts w:ascii="Arial" w:hAnsi="Arial" w:cs="Arial"/>
                <w:sz w:val="22"/>
                <w:szCs w:val="22"/>
              </w:rPr>
              <w:t xml:space="preserve">                      </w:t>
            </w:r>
            <w:sdt>
              <w:sdtPr>
                <w:rPr>
                  <w:rFonts w:ascii="Arial" w:hAnsi="Arial" w:cs="Arial"/>
                  <w:sz w:val="22"/>
                  <w:szCs w:val="22"/>
                </w:rPr>
                <w:id w:val="-583059812"/>
                <w14:checkbox>
                  <w14:checked w14:val="0"/>
                  <w14:checkedState w14:val="2612" w14:font="MS Gothic"/>
                  <w14:uncheckedState w14:val="2610" w14:font="MS Gothic"/>
                </w14:checkbox>
              </w:sdtPr>
              <w:sdtEndPr/>
              <w:sdtContent>
                <w:r w:rsidR="00105680" w:rsidRPr="00430DA8">
                  <w:rPr>
                    <w:rFonts w:ascii="Segoe UI Symbol" w:eastAsia="MS Gothic" w:hAnsi="Segoe UI Symbol" w:cs="Segoe UI Symbol"/>
                    <w:sz w:val="22"/>
                    <w:szCs w:val="22"/>
                  </w:rPr>
                  <w:t>☐</w:t>
                </w:r>
              </w:sdtContent>
            </w:sdt>
            <w:r w:rsidR="00105680" w:rsidRPr="00430DA8">
              <w:rPr>
                <w:rFonts w:ascii="Arial" w:hAnsi="Arial" w:cs="Arial"/>
                <w:sz w:val="22"/>
                <w:szCs w:val="22"/>
              </w:rPr>
              <w:t xml:space="preserve"> Renovation</w:t>
            </w:r>
            <w:r w:rsidR="00105680" w:rsidRPr="00430DA8">
              <w:rPr>
                <w:rFonts w:ascii="Arial" w:hAnsi="Arial" w:cs="Arial"/>
                <w:sz w:val="22"/>
                <w:szCs w:val="22"/>
                <w:vertAlign w:val="superscript"/>
              </w:rPr>
              <w:t>4</w:t>
            </w:r>
          </w:p>
        </w:tc>
      </w:tr>
    </w:tbl>
    <w:p w14:paraId="271A62D5" w14:textId="1010F2F7" w:rsidR="00105680" w:rsidRPr="00430DA8" w:rsidRDefault="00105680" w:rsidP="00105680">
      <w:pPr>
        <w:ind w:left="90" w:hanging="90"/>
        <w:jc w:val="both"/>
        <w:rPr>
          <w:rFonts w:ascii="Arial" w:hAnsi="Arial" w:cs="Arial"/>
          <w:sz w:val="16"/>
          <w:szCs w:val="16"/>
        </w:rPr>
      </w:pPr>
      <w:r w:rsidRPr="00430DA8">
        <w:rPr>
          <w:rFonts w:ascii="Arial" w:hAnsi="Arial" w:cs="Arial"/>
          <w:sz w:val="16"/>
          <w:szCs w:val="16"/>
          <w:vertAlign w:val="superscript"/>
        </w:rPr>
        <w:t xml:space="preserve">3 </w:t>
      </w:r>
      <w:r w:rsidRPr="00430DA8">
        <w:rPr>
          <w:rFonts w:ascii="Arial" w:hAnsi="Arial" w:cs="Arial"/>
          <w:sz w:val="16"/>
          <w:szCs w:val="16"/>
        </w:rPr>
        <w:t>New Construction includes the construction of any new data center facilities or additional facilities for an existing data center.</w:t>
      </w:r>
    </w:p>
    <w:p w14:paraId="3A4E3CC0" w14:textId="0BF2B82B" w:rsidR="00105680" w:rsidRPr="00430DA8" w:rsidRDefault="00105680" w:rsidP="00105680">
      <w:pPr>
        <w:ind w:left="90" w:hanging="90"/>
        <w:jc w:val="both"/>
        <w:rPr>
          <w:rFonts w:ascii="Arial" w:hAnsi="Arial" w:cs="Arial"/>
          <w:sz w:val="16"/>
          <w:szCs w:val="16"/>
        </w:rPr>
      </w:pPr>
      <w:r w:rsidRPr="00430DA8">
        <w:rPr>
          <w:rFonts w:ascii="Arial" w:hAnsi="Arial" w:cs="Arial"/>
          <w:sz w:val="16"/>
          <w:szCs w:val="16"/>
          <w:vertAlign w:val="superscript"/>
        </w:rPr>
        <w:t xml:space="preserve">4 </w:t>
      </w:r>
      <w:r w:rsidRPr="00430DA8">
        <w:rPr>
          <w:rFonts w:ascii="Arial" w:hAnsi="Arial" w:cs="Arial"/>
          <w:sz w:val="16"/>
          <w:szCs w:val="16"/>
        </w:rPr>
        <w:t>Renovations are any projects wherein the interior or exterior structure is restored, repaired, retrofit, or expanded. This may include but is not limited to any renovation of second-generation space for a new tenant or at the time of a tenant exit (suite refresh), construction of additional square footage, tenant leasehold improvements, electrical and mechanical improvements, wall/floor repairs, or relocations, etc.</w:t>
      </w:r>
    </w:p>
    <w:p w14:paraId="0CAF7F5C" w14:textId="77777777" w:rsidR="00105680" w:rsidRPr="00430DA8" w:rsidRDefault="00105680" w:rsidP="00692F1F">
      <w:pPr>
        <w:ind w:left="90" w:hanging="90"/>
        <w:jc w:val="both"/>
        <w:rPr>
          <w:rFonts w:ascii="Arial" w:hAnsi="Arial" w:cs="Arial"/>
          <w:sz w:val="16"/>
          <w:szCs w:val="16"/>
        </w:rPr>
      </w:pPr>
    </w:p>
    <w:p w14:paraId="27675273" w14:textId="77777777" w:rsidR="00105680" w:rsidRPr="00430DA8" w:rsidRDefault="00105680" w:rsidP="00692F1F">
      <w:pPr>
        <w:ind w:left="90" w:hanging="90"/>
        <w:jc w:val="both"/>
        <w:rPr>
          <w:rFonts w:ascii="Arial" w:hAnsi="Arial" w:cs="Arial"/>
          <w:sz w:val="16"/>
          <w:szCs w:val="16"/>
        </w:rPr>
      </w:pPr>
    </w:p>
    <w:tbl>
      <w:tblPr>
        <w:tblStyle w:val="TableGrid"/>
        <w:tblW w:w="9360" w:type="dxa"/>
        <w:tblInd w:w="-5" w:type="dxa"/>
        <w:tblLook w:val="04A0" w:firstRow="1" w:lastRow="0" w:firstColumn="1" w:lastColumn="0" w:noHBand="0" w:noVBand="1"/>
      </w:tblPr>
      <w:tblGrid>
        <w:gridCol w:w="4230"/>
        <w:gridCol w:w="5130"/>
      </w:tblGrid>
      <w:tr w:rsidR="00105680" w:rsidRPr="00430DA8" w14:paraId="0C59E57A" w14:textId="77777777" w:rsidTr="00105680">
        <w:trPr>
          <w:trHeight w:val="720"/>
        </w:trPr>
        <w:tc>
          <w:tcPr>
            <w:tcW w:w="4230" w:type="dxa"/>
            <w:shd w:val="clear" w:color="auto" w:fill="1F3864" w:themeFill="accent1" w:themeFillShade="80"/>
            <w:vAlign w:val="center"/>
          </w:tcPr>
          <w:p w14:paraId="7A2F99C7" w14:textId="77777777" w:rsidR="00105680" w:rsidRPr="00430DA8" w:rsidRDefault="00105680"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Cumulative Tax Benefit Received by Group during Reporting Period</w:t>
            </w:r>
          </w:p>
        </w:tc>
        <w:tc>
          <w:tcPr>
            <w:tcW w:w="5130" w:type="dxa"/>
            <w:vAlign w:val="center"/>
          </w:tcPr>
          <w:p w14:paraId="0F2B549E" w14:textId="77777777" w:rsidR="00105680" w:rsidRPr="00430DA8" w:rsidRDefault="00105680" w:rsidP="00137BCE">
            <w:pPr>
              <w:rPr>
                <w:rFonts w:ascii="Arial" w:hAnsi="Arial" w:cs="Arial"/>
                <w:b/>
                <w:sz w:val="22"/>
                <w:szCs w:val="22"/>
              </w:rPr>
            </w:pPr>
            <w:r w:rsidRPr="00430DA8">
              <w:rPr>
                <w:rFonts w:ascii="Arial" w:hAnsi="Arial" w:cs="Arial"/>
                <w:b/>
                <w:sz w:val="22"/>
                <w:szCs w:val="22"/>
              </w:rPr>
              <w:t>$</w:t>
            </w:r>
          </w:p>
        </w:tc>
      </w:tr>
    </w:tbl>
    <w:p w14:paraId="22E43FF3" w14:textId="121797A2" w:rsidR="00692F1F" w:rsidRPr="00430DA8" w:rsidRDefault="00692F1F" w:rsidP="00692F1F">
      <w:pPr>
        <w:spacing w:after="60"/>
        <w:ind w:left="86" w:hanging="86"/>
        <w:jc w:val="both"/>
        <w:rPr>
          <w:rFonts w:ascii="Arial" w:hAnsi="Arial" w:cs="Arial"/>
          <w:sz w:val="16"/>
          <w:szCs w:val="16"/>
        </w:rPr>
      </w:pPr>
    </w:p>
    <w:p w14:paraId="3FE905E9" w14:textId="77777777" w:rsidR="00430DA8" w:rsidRDefault="00430DA8" w:rsidP="00105680">
      <w:pPr>
        <w:rPr>
          <w:rFonts w:ascii="Arial" w:hAnsi="Arial" w:cs="Arial"/>
          <w:b/>
          <w:sz w:val="22"/>
          <w:szCs w:val="22"/>
        </w:rPr>
      </w:pPr>
    </w:p>
    <w:p w14:paraId="04D2C0BD" w14:textId="77777777" w:rsidR="00430DA8" w:rsidRDefault="00430DA8" w:rsidP="00105680">
      <w:pPr>
        <w:rPr>
          <w:rFonts w:ascii="Arial" w:hAnsi="Arial" w:cs="Arial"/>
          <w:b/>
          <w:sz w:val="22"/>
          <w:szCs w:val="22"/>
        </w:rPr>
      </w:pPr>
    </w:p>
    <w:p w14:paraId="3229F1F9" w14:textId="77777777" w:rsidR="00430DA8" w:rsidRDefault="00430DA8" w:rsidP="00105680">
      <w:pPr>
        <w:rPr>
          <w:rFonts w:ascii="Arial" w:hAnsi="Arial" w:cs="Arial"/>
          <w:b/>
          <w:sz w:val="22"/>
          <w:szCs w:val="22"/>
        </w:rPr>
      </w:pPr>
    </w:p>
    <w:p w14:paraId="158B85C1" w14:textId="77777777" w:rsidR="00430DA8" w:rsidRDefault="00430DA8" w:rsidP="00105680">
      <w:pPr>
        <w:rPr>
          <w:rFonts w:ascii="Arial" w:hAnsi="Arial" w:cs="Arial"/>
          <w:b/>
          <w:sz w:val="22"/>
          <w:szCs w:val="22"/>
        </w:rPr>
      </w:pPr>
    </w:p>
    <w:p w14:paraId="4C902E6D" w14:textId="77777777" w:rsidR="00430DA8" w:rsidRDefault="00430DA8" w:rsidP="00105680">
      <w:pPr>
        <w:rPr>
          <w:rFonts w:ascii="Arial" w:hAnsi="Arial" w:cs="Arial"/>
          <w:b/>
          <w:sz w:val="22"/>
          <w:szCs w:val="22"/>
        </w:rPr>
      </w:pPr>
    </w:p>
    <w:p w14:paraId="3A0CC862" w14:textId="2496E9B3" w:rsidR="00105680" w:rsidRPr="00430DA8" w:rsidRDefault="00105680" w:rsidP="00105680">
      <w:pPr>
        <w:rPr>
          <w:rFonts w:ascii="Arial" w:hAnsi="Arial" w:cs="Arial"/>
          <w:b/>
          <w:sz w:val="22"/>
          <w:szCs w:val="22"/>
        </w:rPr>
      </w:pPr>
      <w:r w:rsidRPr="00430DA8">
        <w:rPr>
          <w:rFonts w:ascii="Arial" w:hAnsi="Arial" w:cs="Arial"/>
          <w:b/>
          <w:sz w:val="22"/>
          <w:szCs w:val="22"/>
        </w:rPr>
        <w:lastRenderedPageBreak/>
        <w:t>EMPLOYMENT DURING 12-MONTH REPORTING PERIOD</w:t>
      </w:r>
    </w:p>
    <w:tbl>
      <w:tblPr>
        <w:tblStyle w:val="TableGrid1"/>
        <w:tblW w:w="9355" w:type="dxa"/>
        <w:tblLook w:val="04A0" w:firstRow="1" w:lastRow="0" w:firstColumn="1" w:lastColumn="0" w:noHBand="0" w:noVBand="1"/>
      </w:tblPr>
      <w:tblGrid>
        <w:gridCol w:w="4225"/>
        <w:gridCol w:w="5130"/>
      </w:tblGrid>
      <w:tr w:rsidR="008B53D3" w:rsidRPr="00430DA8" w14:paraId="556EDF48" w14:textId="77777777" w:rsidTr="00CF0BE7">
        <w:trPr>
          <w:trHeight w:val="432"/>
        </w:trPr>
        <w:tc>
          <w:tcPr>
            <w:tcW w:w="4225" w:type="dxa"/>
            <w:shd w:val="clear" w:color="auto" w:fill="1F3864" w:themeFill="accent1" w:themeFillShade="80"/>
            <w:vAlign w:val="center"/>
          </w:tcPr>
          <w:p w14:paraId="400664C4" w14:textId="77777777" w:rsidR="008B53D3" w:rsidRPr="00430DA8" w:rsidRDefault="008B53D3"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Performance Measurement</w:t>
            </w:r>
          </w:p>
        </w:tc>
        <w:tc>
          <w:tcPr>
            <w:tcW w:w="5130" w:type="dxa"/>
            <w:shd w:val="clear" w:color="auto" w:fill="1F3864" w:themeFill="accent1" w:themeFillShade="80"/>
            <w:vAlign w:val="center"/>
          </w:tcPr>
          <w:p w14:paraId="50548493" w14:textId="77777777" w:rsidR="008B53D3" w:rsidRPr="00430DA8" w:rsidRDefault="008B53D3" w:rsidP="00137BCE">
            <w:pPr>
              <w:rPr>
                <w:rFonts w:ascii="Arial" w:hAnsi="Arial" w:cs="Arial"/>
                <w:b/>
                <w:color w:val="FFFFFF" w:themeColor="background1"/>
                <w:sz w:val="22"/>
                <w:szCs w:val="22"/>
              </w:rPr>
            </w:pPr>
            <w:r w:rsidRPr="00430DA8">
              <w:rPr>
                <w:rFonts w:ascii="Arial" w:hAnsi="Arial" w:cs="Arial"/>
                <w:b/>
                <w:color w:val="FFFFFF" w:themeColor="background1"/>
                <w:sz w:val="22"/>
                <w:szCs w:val="22"/>
              </w:rPr>
              <w:t>Reporting Period Total</w:t>
            </w:r>
          </w:p>
        </w:tc>
      </w:tr>
      <w:tr w:rsidR="008B53D3" w:rsidRPr="00430DA8" w14:paraId="5550BB14" w14:textId="77777777" w:rsidTr="00CF0BE7">
        <w:trPr>
          <w:trHeight w:val="432"/>
        </w:trPr>
        <w:tc>
          <w:tcPr>
            <w:tcW w:w="4225" w:type="dxa"/>
            <w:vAlign w:val="center"/>
          </w:tcPr>
          <w:p w14:paraId="6D3BECF0" w14:textId="16D12D9B" w:rsidR="008B53D3" w:rsidRPr="00430DA8" w:rsidRDefault="00CF0BE7" w:rsidP="00137BCE">
            <w:pPr>
              <w:rPr>
                <w:rFonts w:ascii="Arial" w:hAnsi="Arial" w:cs="Arial"/>
                <w:b/>
                <w:sz w:val="22"/>
                <w:szCs w:val="22"/>
              </w:rPr>
            </w:pPr>
            <w:r w:rsidRPr="00430DA8">
              <w:rPr>
                <w:rFonts w:ascii="Arial" w:hAnsi="Arial" w:cs="Arial"/>
                <w:b/>
                <w:sz w:val="22"/>
                <w:szCs w:val="22"/>
              </w:rPr>
              <w:t xml:space="preserve">Total </w:t>
            </w:r>
            <w:r w:rsidR="008B53D3" w:rsidRPr="00430DA8">
              <w:rPr>
                <w:rFonts w:ascii="Arial" w:hAnsi="Arial" w:cs="Arial"/>
                <w:b/>
                <w:sz w:val="22"/>
                <w:szCs w:val="22"/>
              </w:rPr>
              <w:t>Employment</w:t>
            </w:r>
            <w:r w:rsidR="00105680" w:rsidRPr="00430DA8">
              <w:rPr>
                <w:rFonts w:ascii="Arial" w:hAnsi="Arial" w:cs="Arial"/>
                <w:b/>
                <w:sz w:val="22"/>
                <w:szCs w:val="22"/>
                <w:vertAlign w:val="superscript"/>
              </w:rPr>
              <w:t>5</w:t>
            </w:r>
            <w:r w:rsidR="008B53D3" w:rsidRPr="00430DA8">
              <w:rPr>
                <w:rFonts w:ascii="Arial" w:hAnsi="Arial" w:cs="Arial"/>
                <w:b/>
                <w:sz w:val="22"/>
                <w:szCs w:val="22"/>
              </w:rPr>
              <w:t xml:space="preserve"> </w:t>
            </w:r>
          </w:p>
        </w:tc>
        <w:tc>
          <w:tcPr>
            <w:tcW w:w="5130" w:type="dxa"/>
            <w:vAlign w:val="center"/>
          </w:tcPr>
          <w:p w14:paraId="2EFDAFDF" w14:textId="77777777" w:rsidR="008B53D3" w:rsidRPr="00430DA8" w:rsidRDefault="008B53D3" w:rsidP="00137BCE">
            <w:pPr>
              <w:rPr>
                <w:rFonts w:ascii="Arial" w:hAnsi="Arial" w:cs="Arial"/>
                <w:sz w:val="22"/>
                <w:szCs w:val="22"/>
              </w:rPr>
            </w:pPr>
          </w:p>
        </w:tc>
      </w:tr>
      <w:tr w:rsidR="008B53D3" w:rsidRPr="00430DA8" w14:paraId="579974FF" w14:textId="77777777" w:rsidTr="00CF0BE7">
        <w:trPr>
          <w:trHeight w:val="432"/>
        </w:trPr>
        <w:tc>
          <w:tcPr>
            <w:tcW w:w="4225" w:type="dxa"/>
            <w:vAlign w:val="center"/>
          </w:tcPr>
          <w:p w14:paraId="1525C988" w14:textId="2BEB13D9" w:rsidR="008B53D3" w:rsidRPr="00430DA8" w:rsidRDefault="008B53D3" w:rsidP="00137BCE">
            <w:pPr>
              <w:rPr>
                <w:rFonts w:ascii="Arial" w:hAnsi="Arial" w:cs="Arial"/>
                <w:b/>
                <w:sz w:val="22"/>
                <w:szCs w:val="22"/>
              </w:rPr>
            </w:pPr>
            <w:r w:rsidRPr="00430DA8">
              <w:rPr>
                <w:rFonts w:ascii="Arial" w:hAnsi="Arial" w:cs="Arial"/>
                <w:b/>
                <w:sz w:val="22"/>
                <w:szCs w:val="22"/>
              </w:rPr>
              <w:t xml:space="preserve">Total </w:t>
            </w:r>
            <w:r w:rsidR="00105680" w:rsidRPr="00430DA8">
              <w:rPr>
                <w:rFonts w:ascii="Arial" w:hAnsi="Arial" w:cs="Arial"/>
                <w:b/>
                <w:sz w:val="22"/>
                <w:szCs w:val="22"/>
              </w:rPr>
              <w:t xml:space="preserve">Actual </w:t>
            </w:r>
            <w:r w:rsidRPr="00430DA8">
              <w:rPr>
                <w:rFonts w:ascii="Arial" w:hAnsi="Arial" w:cs="Arial"/>
                <w:b/>
                <w:sz w:val="22"/>
                <w:szCs w:val="22"/>
              </w:rPr>
              <w:t>Payroll</w:t>
            </w:r>
            <w:r w:rsidR="00105680" w:rsidRPr="00430DA8">
              <w:rPr>
                <w:rFonts w:ascii="Arial" w:hAnsi="Arial" w:cs="Arial"/>
                <w:b/>
                <w:sz w:val="22"/>
                <w:szCs w:val="22"/>
                <w:vertAlign w:val="superscript"/>
              </w:rPr>
              <w:t>6</w:t>
            </w:r>
          </w:p>
        </w:tc>
        <w:tc>
          <w:tcPr>
            <w:tcW w:w="5130" w:type="dxa"/>
            <w:tcBorders>
              <w:bottom w:val="single" w:sz="4" w:space="0" w:color="auto"/>
            </w:tcBorders>
            <w:vAlign w:val="center"/>
          </w:tcPr>
          <w:p w14:paraId="65B12305" w14:textId="77777777" w:rsidR="008B53D3" w:rsidRPr="00430DA8" w:rsidRDefault="008B53D3" w:rsidP="00137BCE">
            <w:pPr>
              <w:rPr>
                <w:rFonts w:ascii="Arial" w:hAnsi="Arial" w:cs="Arial"/>
                <w:sz w:val="22"/>
                <w:szCs w:val="22"/>
              </w:rPr>
            </w:pPr>
          </w:p>
        </w:tc>
      </w:tr>
      <w:tr w:rsidR="008B53D3" w:rsidRPr="00430DA8" w14:paraId="6D3B0138" w14:textId="77777777" w:rsidTr="00CF0BE7">
        <w:trPr>
          <w:trHeight w:val="432"/>
        </w:trPr>
        <w:tc>
          <w:tcPr>
            <w:tcW w:w="4225" w:type="dxa"/>
            <w:vAlign w:val="center"/>
          </w:tcPr>
          <w:p w14:paraId="352A2FFB" w14:textId="77777777" w:rsidR="008B53D3" w:rsidRPr="00430DA8" w:rsidRDefault="008B53D3" w:rsidP="00137BCE">
            <w:pPr>
              <w:rPr>
                <w:rFonts w:ascii="Arial" w:hAnsi="Arial" w:cs="Arial"/>
                <w:b/>
                <w:sz w:val="22"/>
                <w:szCs w:val="22"/>
              </w:rPr>
            </w:pPr>
            <w:r w:rsidRPr="00430DA8">
              <w:rPr>
                <w:rFonts w:ascii="Arial" w:hAnsi="Arial" w:cs="Arial"/>
                <w:b/>
                <w:sz w:val="22"/>
                <w:szCs w:val="22"/>
              </w:rPr>
              <w:t xml:space="preserve">Standard Fringe Benefits Offered </w:t>
            </w:r>
          </w:p>
        </w:tc>
        <w:tc>
          <w:tcPr>
            <w:tcW w:w="5130" w:type="dxa"/>
            <w:tcBorders>
              <w:right w:val="single" w:sz="4" w:space="0" w:color="auto"/>
            </w:tcBorders>
            <w:vAlign w:val="center"/>
          </w:tcPr>
          <w:p w14:paraId="2E7F85C1" w14:textId="77777777" w:rsidR="008B53D3" w:rsidRPr="00430DA8" w:rsidRDefault="00E72FD8" w:rsidP="00137BCE">
            <w:pPr>
              <w:rPr>
                <w:rFonts w:ascii="Arial" w:hAnsi="Arial" w:cs="Arial"/>
                <w:sz w:val="22"/>
                <w:szCs w:val="22"/>
              </w:rPr>
            </w:pPr>
            <w:sdt>
              <w:sdtPr>
                <w:rPr>
                  <w:rFonts w:ascii="Arial" w:hAnsi="Arial" w:cs="Arial"/>
                  <w:sz w:val="22"/>
                  <w:szCs w:val="22"/>
                </w:rPr>
                <w:id w:val="258259553"/>
                <w14:checkbox>
                  <w14:checked w14:val="0"/>
                  <w14:checkedState w14:val="2612" w14:font="MS Gothic"/>
                  <w14:uncheckedState w14:val="2610" w14:font="MS Gothic"/>
                </w14:checkbox>
              </w:sdtPr>
              <w:sdtEndPr/>
              <w:sdtContent>
                <w:r w:rsidR="008B53D3" w:rsidRPr="00430DA8">
                  <w:rPr>
                    <w:rFonts w:ascii="Segoe UI Symbol" w:eastAsia="MS Gothic" w:hAnsi="Segoe UI Symbol" w:cs="Segoe UI Symbol"/>
                    <w:sz w:val="22"/>
                    <w:szCs w:val="22"/>
                  </w:rPr>
                  <w:t>☐</w:t>
                </w:r>
              </w:sdtContent>
            </w:sdt>
            <w:r w:rsidR="008B53D3" w:rsidRPr="00430DA8">
              <w:rPr>
                <w:rFonts w:ascii="Arial" w:hAnsi="Arial" w:cs="Arial"/>
                <w:sz w:val="22"/>
                <w:szCs w:val="22"/>
              </w:rPr>
              <w:t xml:space="preserve"> Yes                        </w:t>
            </w:r>
            <w:sdt>
              <w:sdtPr>
                <w:rPr>
                  <w:rFonts w:ascii="Arial" w:hAnsi="Arial" w:cs="Arial"/>
                  <w:sz w:val="22"/>
                  <w:szCs w:val="22"/>
                </w:rPr>
                <w:id w:val="-94254915"/>
                <w14:checkbox>
                  <w14:checked w14:val="0"/>
                  <w14:checkedState w14:val="2612" w14:font="MS Gothic"/>
                  <w14:uncheckedState w14:val="2610" w14:font="MS Gothic"/>
                </w14:checkbox>
              </w:sdtPr>
              <w:sdtEndPr/>
              <w:sdtContent>
                <w:r w:rsidR="008B53D3" w:rsidRPr="00430DA8">
                  <w:rPr>
                    <w:rFonts w:ascii="Segoe UI Symbol" w:eastAsia="MS Gothic" w:hAnsi="Segoe UI Symbol" w:cs="Segoe UI Symbol"/>
                    <w:sz w:val="22"/>
                    <w:szCs w:val="22"/>
                  </w:rPr>
                  <w:t>☐</w:t>
                </w:r>
              </w:sdtContent>
            </w:sdt>
            <w:r w:rsidR="008B53D3" w:rsidRPr="00430DA8">
              <w:rPr>
                <w:rFonts w:ascii="Arial" w:hAnsi="Arial" w:cs="Arial"/>
                <w:sz w:val="22"/>
                <w:szCs w:val="22"/>
              </w:rPr>
              <w:t xml:space="preserve"> No</w:t>
            </w:r>
          </w:p>
        </w:tc>
      </w:tr>
    </w:tbl>
    <w:p w14:paraId="2662D801" w14:textId="7C352554" w:rsidR="00A45F6E" w:rsidRPr="00430DA8" w:rsidRDefault="00105680" w:rsidP="008B53D3">
      <w:pPr>
        <w:spacing w:after="60"/>
        <w:ind w:left="86" w:hanging="86"/>
        <w:jc w:val="both"/>
        <w:rPr>
          <w:rFonts w:ascii="Arial" w:hAnsi="Arial" w:cs="Arial"/>
          <w:sz w:val="16"/>
          <w:szCs w:val="16"/>
        </w:rPr>
      </w:pPr>
      <w:r w:rsidRPr="00430DA8">
        <w:rPr>
          <w:rFonts w:ascii="Arial" w:hAnsi="Arial" w:cs="Arial"/>
          <w:sz w:val="16"/>
          <w:szCs w:val="16"/>
          <w:vertAlign w:val="superscript"/>
        </w:rPr>
        <w:t>5</w:t>
      </w:r>
      <w:r w:rsidR="00A45F6E" w:rsidRPr="00430DA8">
        <w:rPr>
          <w:rFonts w:ascii="Arial" w:hAnsi="Arial" w:cs="Arial"/>
          <w:sz w:val="16"/>
          <w:szCs w:val="16"/>
        </w:rPr>
        <w:t xml:space="preserve">Employment shall include </w:t>
      </w:r>
      <w:r w:rsidR="00CF0BE7" w:rsidRPr="00430DA8">
        <w:rPr>
          <w:rFonts w:ascii="Arial" w:hAnsi="Arial" w:cs="Arial"/>
          <w:sz w:val="16"/>
          <w:szCs w:val="16"/>
        </w:rPr>
        <w:t>all employees of the Group for the D</w:t>
      </w:r>
      <w:r w:rsidR="00A45F6E" w:rsidRPr="00430DA8">
        <w:rPr>
          <w:rFonts w:ascii="Arial" w:hAnsi="Arial" w:cs="Arial"/>
          <w:sz w:val="16"/>
          <w:szCs w:val="16"/>
        </w:rPr>
        <w:t xml:space="preserve">ata </w:t>
      </w:r>
      <w:r w:rsidR="00CF0BE7" w:rsidRPr="00430DA8">
        <w:rPr>
          <w:rFonts w:ascii="Arial" w:hAnsi="Arial" w:cs="Arial"/>
          <w:sz w:val="16"/>
          <w:szCs w:val="16"/>
        </w:rPr>
        <w:t>C</w:t>
      </w:r>
      <w:r w:rsidR="00A45F6E" w:rsidRPr="00430DA8">
        <w:rPr>
          <w:rFonts w:ascii="Arial" w:hAnsi="Arial" w:cs="Arial"/>
          <w:sz w:val="16"/>
          <w:szCs w:val="16"/>
        </w:rPr>
        <w:t xml:space="preserve">enter </w:t>
      </w:r>
      <w:r w:rsidR="00692F1F" w:rsidRPr="00430DA8">
        <w:rPr>
          <w:rFonts w:ascii="Arial" w:hAnsi="Arial" w:cs="Arial"/>
          <w:sz w:val="16"/>
          <w:szCs w:val="16"/>
        </w:rPr>
        <w:t>during the 12-month Reporting Period</w:t>
      </w:r>
      <w:r w:rsidR="00CF0BE7" w:rsidRPr="00430DA8">
        <w:rPr>
          <w:rFonts w:ascii="Arial" w:hAnsi="Arial" w:cs="Arial"/>
          <w:sz w:val="16"/>
          <w:szCs w:val="16"/>
        </w:rPr>
        <w:t>.</w:t>
      </w:r>
      <w:r w:rsidR="00692F1F" w:rsidRPr="00430DA8">
        <w:rPr>
          <w:rFonts w:ascii="Arial" w:hAnsi="Arial" w:cs="Arial"/>
          <w:sz w:val="16"/>
          <w:szCs w:val="16"/>
        </w:rPr>
        <w:t xml:space="preserve"> Part-Time Jobs may be aggregated into FTEs by taking the total hours worked by part-time employees of the Group during the Reporting Period, divided by 2080 hours (40 hours at 52 weeks per year). Jobs may be aggregated across the Data Center's facilities within a locality but not across localities. </w:t>
      </w:r>
      <w:r w:rsidR="00A45F6E" w:rsidRPr="00430DA8">
        <w:rPr>
          <w:rFonts w:ascii="Arial" w:hAnsi="Arial" w:cs="Arial"/>
          <w:sz w:val="16"/>
          <w:szCs w:val="16"/>
        </w:rPr>
        <w:t xml:space="preserve">Jobs are not required to be physically located at the data </w:t>
      </w:r>
      <w:r w:rsidR="00692F1F" w:rsidRPr="00430DA8">
        <w:rPr>
          <w:rFonts w:ascii="Arial" w:hAnsi="Arial" w:cs="Arial"/>
          <w:sz w:val="16"/>
          <w:szCs w:val="16"/>
        </w:rPr>
        <w:t xml:space="preserve">center but </w:t>
      </w:r>
      <w:r w:rsidR="00A45F6E" w:rsidRPr="00430DA8">
        <w:rPr>
          <w:rFonts w:ascii="Arial" w:hAnsi="Arial" w:cs="Arial"/>
          <w:sz w:val="16"/>
          <w:szCs w:val="16"/>
        </w:rPr>
        <w:t xml:space="preserve">should be within the locality and associated with the operation and maintenance of the data center. </w:t>
      </w:r>
      <w:r w:rsidR="00692F1F" w:rsidRPr="00430DA8">
        <w:rPr>
          <w:rFonts w:ascii="Arial" w:hAnsi="Arial" w:cs="Arial"/>
          <w:sz w:val="16"/>
          <w:szCs w:val="16"/>
        </w:rPr>
        <w:t>Data Centers shall include tenant jobs and only vendor jobs that provide dedicated, full-time service to the data center.</w:t>
      </w:r>
    </w:p>
    <w:p w14:paraId="7AFB8682" w14:textId="4E4AD2C1" w:rsidR="00105680" w:rsidRPr="00430DA8" w:rsidRDefault="00105680" w:rsidP="00105680">
      <w:pPr>
        <w:spacing w:after="60"/>
        <w:ind w:left="86" w:hanging="86"/>
        <w:jc w:val="both"/>
        <w:rPr>
          <w:rFonts w:ascii="Arial" w:hAnsi="Arial" w:cs="Arial"/>
          <w:sz w:val="16"/>
          <w:szCs w:val="16"/>
        </w:rPr>
      </w:pPr>
      <w:r w:rsidRPr="00430DA8">
        <w:rPr>
          <w:rFonts w:ascii="Arial" w:hAnsi="Arial" w:cs="Arial"/>
          <w:sz w:val="16"/>
          <w:szCs w:val="16"/>
          <w:vertAlign w:val="superscript"/>
        </w:rPr>
        <w:t>6</w:t>
      </w:r>
      <w:r w:rsidRPr="00430DA8">
        <w:rPr>
          <w:rFonts w:ascii="Arial" w:hAnsi="Arial" w:cs="Arial"/>
          <w:sz w:val="16"/>
          <w:szCs w:val="16"/>
        </w:rPr>
        <w:t xml:space="preserve">Total Actual Payroll shall reflect the aggregate payroll for all employees, full-time or part-time employees calculated as FTEs, included in the Total Employment Count. Total Actual Payroll should be exclusive of the value of fringe benefits.  </w:t>
      </w:r>
    </w:p>
    <w:p w14:paraId="1A0DC0EC" w14:textId="5251E07E" w:rsidR="00105680" w:rsidRDefault="00105680" w:rsidP="008B53D3">
      <w:pPr>
        <w:spacing w:after="60"/>
        <w:ind w:left="86" w:hanging="86"/>
        <w:jc w:val="both"/>
        <w:rPr>
          <w:rFonts w:ascii="Arial" w:hAnsi="Arial" w:cs="Arial"/>
          <w:sz w:val="20"/>
        </w:rPr>
      </w:pPr>
    </w:p>
    <w:p w14:paraId="2A1E13E6" w14:textId="77777777" w:rsidR="00430DA8" w:rsidRPr="00430DA8" w:rsidRDefault="00430DA8" w:rsidP="008B53D3">
      <w:pPr>
        <w:spacing w:after="60"/>
        <w:ind w:left="86" w:hanging="86"/>
        <w:jc w:val="both"/>
        <w:rPr>
          <w:rFonts w:ascii="Arial" w:hAnsi="Arial" w:cs="Arial"/>
          <w:sz w:val="20"/>
        </w:rPr>
      </w:pPr>
    </w:p>
    <w:p w14:paraId="4EA3BD3B" w14:textId="7A9F58D9" w:rsidR="00105680" w:rsidRPr="00430DA8" w:rsidRDefault="00105680" w:rsidP="008B53D3">
      <w:pPr>
        <w:spacing w:after="60"/>
        <w:ind w:left="86" w:hanging="86"/>
        <w:jc w:val="both"/>
        <w:rPr>
          <w:rFonts w:ascii="Arial" w:hAnsi="Arial" w:cs="Arial"/>
          <w:sz w:val="20"/>
        </w:rPr>
      </w:pPr>
    </w:p>
    <w:p w14:paraId="4B983FFD" w14:textId="77777777" w:rsidR="00105680" w:rsidRPr="00430DA8" w:rsidRDefault="00105680" w:rsidP="00105680">
      <w:pPr>
        <w:rPr>
          <w:rFonts w:ascii="Arial" w:hAnsi="Arial" w:cs="Arial"/>
          <w:b/>
          <w:sz w:val="20"/>
        </w:rPr>
      </w:pPr>
      <w:r w:rsidRPr="00430DA8">
        <w:rPr>
          <w:rFonts w:ascii="Arial" w:hAnsi="Arial" w:cs="Arial"/>
          <w:b/>
          <w:sz w:val="20"/>
        </w:rPr>
        <w:t>TO BE CERTIFIED BY AN AUTHORIZED REPRESENTATIVE OF THE COMPANY:</w:t>
      </w:r>
    </w:p>
    <w:p w14:paraId="2ADB9AFD" w14:textId="77777777" w:rsidR="00105680" w:rsidRPr="00430DA8" w:rsidRDefault="00105680" w:rsidP="00105680">
      <w:pPr>
        <w:rPr>
          <w:rFonts w:ascii="Arial" w:hAnsi="Arial" w:cs="Arial"/>
          <w:sz w:val="20"/>
        </w:rPr>
      </w:pPr>
    </w:p>
    <w:p w14:paraId="45D599BA" w14:textId="77777777" w:rsidR="00105680" w:rsidRPr="00430DA8" w:rsidRDefault="00105680" w:rsidP="00105680">
      <w:pPr>
        <w:rPr>
          <w:rFonts w:ascii="Arial" w:hAnsi="Arial" w:cs="Arial"/>
          <w:sz w:val="20"/>
        </w:rPr>
      </w:pPr>
      <w:r w:rsidRPr="00430DA8">
        <w:rPr>
          <w:rFonts w:ascii="Arial" w:hAnsi="Arial" w:cs="Arial"/>
          <w:sz w:val="20"/>
        </w:rPr>
        <w:t>I certify that I have examined this report, and to the best of my knowledge and belief, it is true, correct, and complete.</w:t>
      </w:r>
    </w:p>
    <w:p w14:paraId="2E7748CB" w14:textId="77777777" w:rsidR="00105680" w:rsidRPr="00430DA8" w:rsidRDefault="00105680" w:rsidP="00105680">
      <w:pPr>
        <w:rPr>
          <w:rFonts w:ascii="Arial" w:hAnsi="Arial" w:cs="Arial"/>
          <w:sz w:val="20"/>
        </w:rPr>
      </w:pPr>
    </w:p>
    <w:p w14:paraId="31304D84" w14:textId="77777777" w:rsidR="00105680" w:rsidRPr="00430DA8" w:rsidRDefault="00105680" w:rsidP="00105680">
      <w:pPr>
        <w:contextualSpacing/>
        <w:rPr>
          <w:rFonts w:ascii="Arial" w:hAnsi="Arial" w:cs="Arial"/>
          <w:sz w:val="20"/>
          <w:u w:val="single"/>
        </w:rPr>
      </w:pPr>
      <w:r w:rsidRPr="00430DA8">
        <w:rPr>
          <w:rFonts w:ascii="Arial" w:hAnsi="Arial" w:cs="Arial"/>
          <w:sz w:val="20"/>
        </w:rPr>
        <w:t xml:space="preserve">Company:  </w:t>
      </w:r>
      <w:r w:rsidRPr="00430DA8">
        <w:rPr>
          <w:rFonts w:ascii="Arial" w:hAnsi="Arial" w:cs="Arial"/>
          <w:sz w:val="20"/>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p>
    <w:p w14:paraId="251A9C84" w14:textId="77777777" w:rsidR="00105680" w:rsidRPr="00430DA8" w:rsidRDefault="00105680" w:rsidP="00105680">
      <w:pPr>
        <w:contextualSpacing/>
        <w:rPr>
          <w:rFonts w:ascii="Arial" w:hAnsi="Arial" w:cs="Arial"/>
          <w:sz w:val="20"/>
        </w:rPr>
      </w:pPr>
    </w:p>
    <w:p w14:paraId="08F34C72" w14:textId="77777777" w:rsidR="00105680" w:rsidRPr="00430DA8" w:rsidRDefault="00105680" w:rsidP="00105680">
      <w:pPr>
        <w:contextualSpacing/>
        <w:rPr>
          <w:rFonts w:ascii="Arial" w:hAnsi="Arial" w:cs="Arial"/>
          <w:sz w:val="20"/>
        </w:rPr>
      </w:pPr>
    </w:p>
    <w:p w14:paraId="78C878BE" w14:textId="77777777" w:rsidR="00105680" w:rsidRPr="00430DA8" w:rsidRDefault="00105680" w:rsidP="00105680">
      <w:pPr>
        <w:ind w:left="720" w:firstLine="720"/>
        <w:contextualSpacing/>
        <w:rPr>
          <w:rFonts w:ascii="Arial" w:hAnsi="Arial" w:cs="Arial"/>
          <w:sz w:val="20"/>
        </w:rPr>
      </w:pPr>
      <w:r w:rsidRPr="00430DA8">
        <w:rPr>
          <w:rFonts w:ascii="Arial" w:hAnsi="Arial" w:cs="Arial"/>
          <w:sz w:val="20"/>
        </w:rPr>
        <w:t xml:space="preserve">By: </w:t>
      </w:r>
      <w:r w:rsidRPr="00430DA8">
        <w:rPr>
          <w:rFonts w:ascii="Arial" w:hAnsi="Arial" w:cs="Arial"/>
          <w:sz w:val="20"/>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p>
    <w:p w14:paraId="3DCD0E3B" w14:textId="77777777" w:rsidR="00105680" w:rsidRPr="00430DA8" w:rsidRDefault="00105680" w:rsidP="00105680">
      <w:pPr>
        <w:contextualSpacing/>
        <w:rPr>
          <w:rFonts w:ascii="Arial" w:hAnsi="Arial" w:cs="Arial"/>
          <w:sz w:val="20"/>
        </w:rPr>
      </w:pPr>
    </w:p>
    <w:p w14:paraId="7EA7B4FD" w14:textId="77777777" w:rsidR="00105680" w:rsidRPr="00430DA8" w:rsidRDefault="00105680" w:rsidP="00105680">
      <w:pPr>
        <w:ind w:left="720" w:firstLine="720"/>
        <w:contextualSpacing/>
        <w:rPr>
          <w:rFonts w:ascii="Arial" w:hAnsi="Arial" w:cs="Arial"/>
          <w:sz w:val="20"/>
          <w:u w:val="single"/>
        </w:rPr>
      </w:pPr>
      <w:r w:rsidRPr="00430DA8">
        <w:rPr>
          <w:rFonts w:ascii="Arial" w:hAnsi="Arial" w:cs="Arial"/>
          <w:sz w:val="20"/>
        </w:rPr>
        <w:t xml:space="preserve">Name: </w:t>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p>
    <w:p w14:paraId="02D739A9" w14:textId="77777777" w:rsidR="00105680" w:rsidRPr="00430DA8" w:rsidRDefault="00105680" w:rsidP="00105680">
      <w:pPr>
        <w:contextualSpacing/>
        <w:rPr>
          <w:rFonts w:ascii="Arial" w:hAnsi="Arial" w:cs="Arial"/>
          <w:sz w:val="20"/>
        </w:rPr>
      </w:pPr>
    </w:p>
    <w:p w14:paraId="15CBC3AA" w14:textId="77777777" w:rsidR="00105680" w:rsidRPr="00430DA8" w:rsidRDefault="00105680" w:rsidP="00105680">
      <w:pPr>
        <w:ind w:left="720" w:firstLine="720"/>
        <w:contextualSpacing/>
        <w:rPr>
          <w:rFonts w:ascii="Arial" w:hAnsi="Arial" w:cs="Arial"/>
          <w:sz w:val="20"/>
          <w:u w:val="single"/>
        </w:rPr>
      </w:pPr>
      <w:r w:rsidRPr="00430DA8">
        <w:rPr>
          <w:rFonts w:ascii="Arial" w:hAnsi="Arial" w:cs="Arial"/>
          <w:sz w:val="20"/>
        </w:rPr>
        <w:t>Title:</w:t>
      </w:r>
      <w:r w:rsidRPr="00430DA8">
        <w:rPr>
          <w:rFonts w:ascii="Arial" w:hAnsi="Arial" w:cs="Arial"/>
          <w:sz w:val="20"/>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p>
    <w:p w14:paraId="451E1E3C" w14:textId="77777777" w:rsidR="00105680" w:rsidRPr="00430DA8" w:rsidRDefault="00105680" w:rsidP="00105680">
      <w:pPr>
        <w:contextualSpacing/>
        <w:rPr>
          <w:rFonts w:ascii="Arial" w:hAnsi="Arial" w:cs="Arial"/>
          <w:sz w:val="20"/>
        </w:rPr>
      </w:pPr>
    </w:p>
    <w:p w14:paraId="2F7ACD99" w14:textId="77777777" w:rsidR="00105680" w:rsidRPr="00430DA8" w:rsidRDefault="00105680" w:rsidP="00105680">
      <w:pPr>
        <w:ind w:left="720" w:firstLine="720"/>
        <w:contextualSpacing/>
        <w:rPr>
          <w:rFonts w:ascii="Arial" w:hAnsi="Arial" w:cs="Arial"/>
          <w:sz w:val="20"/>
          <w:u w:val="single"/>
        </w:rPr>
      </w:pPr>
      <w:r w:rsidRPr="00430DA8">
        <w:rPr>
          <w:rFonts w:ascii="Arial" w:hAnsi="Arial" w:cs="Arial"/>
          <w:sz w:val="20"/>
        </w:rPr>
        <w:t>Date:</w:t>
      </w:r>
      <w:r w:rsidRPr="00430DA8">
        <w:rPr>
          <w:rFonts w:ascii="Arial" w:hAnsi="Arial" w:cs="Arial"/>
          <w:sz w:val="20"/>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r w:rsidRPr="00430DA8">
        <w:rPr>
          <w:rFonts w:ascii="Arial" w:hAnsi="Arial" w:cs="Arial"/>
          <w:sz w:val="20"/>
          <w:u w:val="single"/>
        </w:rPr>
        <w:tab/>
      </w:r>
    </w:p>
    <w:p w14:paraId="152E2C58" w14:textId="77777777" w:rsidR="00105680" w:rsidRPr="00430DA8" w:rsidRDefault="00105680" w:rsidP="00105680">
      <w:pPr>
        <w:rPr>
          <w:rFonts w:ascii="Arial" w:hAnsi="Arial" w:cs="Arial"/>
          <w:sz w:val="20"/>
        </w:rPr>
      </w:pPr>
    </w:p>
    <w:p w14:paraId="2767E391" w14:textId="77777777" w:rsidR="00105680" w:rsidRPr="00430DA8" w:rsidRDefault="00105680" w:rsidP="00105680">
      <w:pPr>
        <w:rPr>
          <w:rFonts w:ascii="Arial" w:hAnsi="Arial" w:cs="Arial"/>
          <w:sz w:val="20"/>
        </w:rPr>
      </w:pPr>
    </w:p>
    <w:p w14:paraId="579202F9" w14:textId="77777777" w:rsidR="00105680" w:rsidRPr="00430DA8" w:rsidRDefault="00105680" w:rsidP="00105680">
      <w:pPr>
        <w:jc w:val="both"/>
        <w:rPr>
          <w:rFonts w:ascii="Arial" w:hAnsi="Arial" w:cs="Arial"/>
          <w:sz w:val="20"/>
        </w:rPr>
      </w:pPr>
      <w:r w:rsidRPr="00430DA8">
        <w:rPr>
          <w:rFonts w:ascii="Arial" w:hAnsi="Arial" w:cs="Arial"/>
          <w:b/>
          <w:bCs/>
          <w:sz w:val="20"/>
        </w:rPr>
        <w:t>Please return to:</w:t>
      </w:r>
      <w:r w:rsidRPr="00430DA8">
        <w:rPr>
          <w:rFonts w:ascii="Arial" w:hAnsi="Arial" w:cs="Arial"/>
          <w:sz w:val="20"/>
        </w:rPr>
        <w:t xml:space="preserve"> John Michael Haynes, Incentives Division 804.545.5655, </w:t>
      </w:r>
      <w:hyperlink r:id="rId6" w:history="1">
        <w:r w:rsidRPr="00430DA8">
          <w:rPr>
            <w:rStyle w:val="Hyperlink"/>
            <w:rFonts w:ascii="Arial" w:hAnsi="Arial" w:cs="Arial"/>
            <w:sz w:val="20"/>
          </w:rPr>
          <w:t>jmhaynes@vedp.org</w:t>
        </w:r>
      </w:hyperlink>
    </w:p>
    <w:bookmarkEnd w:id="1"/>
    <w:p w14:paraId="4E20638F" w14:textId="77777777" w:rsidR="00105680" w:rsidRPr="00430DA8" w:rsidRDefault="00105680" w:rsidP="008B53D3">
      <w:pPr>
        <w:spacing w:after="60"/>
        <w:ind w:left="86" w:hanging="86"/>
        <w:jc w:val="both"/>
        <w:rPr>
          <w:rFonts w:ascii="Arial" w:hAnsi="Arial" w:cs="Arial"/>
          <w:sz w:val="20"/>
        </w:rPr>
      </w:pPr>
    </w:p>
    <w:sectPr w:rsidR="00105680" w:rsidRPr="00430DA8" w:rsidSect="00430DA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3MTUzNjO2MDc0tzRS0lEKTi0uzszPAykwqQUAOL/AfiwAAAA="/>
  </w:docVars>
  <w:rsids>
    <w:rsidRoot w:val="005045D8"/>
    <w:rsid w:val="00015636"/>
    <w:rsid w:val="00105680"/>
    <w:rsid w:val="001C4B65"/>
    <w:rsid w:val="0039259D"/>
    <w:rsid w:val="003D048E"/>
    <w:rsid w:val="00430DA8"/>
    <w:rsid w:val="0043358F"/>
    <w:rsid w:val="005045D8"/>
    <w:rsid w:val="00611669"/>
    <w:rsid w:val="00692F1F"/>
    <w:rsid w:val="00693E02"/>
    <w:rsid w:val="006C1590"/>
    <w:rsid w:val="0074594A"/>
    <w:rsid w:val="00753C3F"/>
    <w:rsid w:val="0080797A"/>
    <w:rsid w:val="008749F7"/>
    <w:rsid w:val="00882B61"/>
    <w:rsid w:val="008B53D3"/>
    <w:rsid w:val="00A45F6E"/>
    <w:rsid w:val="00CB1A51"/>
    <w:rsid w:val="00CF0BE7"/>
    <w:rsid w:val="00D02800"/>
    <w:rsid w:val="00E426F4"/>
    <w:rsid w:val="00E72FD8"/>
    <w:rsid w:val="00EA174D"/>
    <w:rsid w:val="00FB0E29"/>
    <w:rsid w:val="00FC2CB9"/>
    <w:rsid w:val="00FF1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080F"/>
  <w15:chartTrackingRefBased/>
  <w15:docId w15:val="{6C8E379E-5AE1-42B5-953C-B2CCB4BF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5D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04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04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045D8"/>
    <w:rPr>
      <w:rFonts w:cs="Times New Roman"/>
      <w:sz w:val="16"/>
      <w:szCs w:val="16"/>
    </w:rPr>
  </w:style>
  <w:style w:type="paragraph" w:styleId="CommentText">
    <w:name w:val="annotation text"/>
    <w:basedOn w:val="Normal"/>
    <w:link w:val="CommentTextChar"/>
    <w:uiPriority w:val="99"/>
    <w:semiHidden/>
    <w:rsid w:val="005045D8"/>
    <w:rPr>
      <w:sz w:val="20"/>
    </w:rPr>
  </w:style>
  <w:style w:type="character" w:customStyle="1" w:styleId="CommentTextChar">
    <w:name w:val="Comment Text Char"/>
    <w:basedOn w:val="DefaultParagraphFont"/>
    <w:link w:val="CommentText"/>
    <w:uiPriority w:val="99"/>
    <w:semiHidden/>
    <w:rsid w:val="005045D8"/>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A174D"/>
    <w:rPr>
      <w:color w:val="0563C1" w:themeColor="hyperlink"/>
      <w:u w:val="single"/>
    </w:rPr>
  </w:style>
  <w:style w:type="character" w:styleId="UnresolvedMention">
    <w:name w:val="Unresolved Mention"/>
    <w:basedOn w:val="DefaultParagraphFont"/>
    <w:uiPriority w:val="99"/>
    <w:semiHidden/>
    <w:unhideWhenUsed/>
    <w:rsid w:val="00EA1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mhaynes@vedp.org" TargetMode="External"/><Relationship Id="rId5" Type="http://schemas.openxmlformats.org/officeDocument/2006/relationships/hyperlink" Target="mailto:jmhaynes@vedp.org" TargetMode="External"/><Relationship Id="rId4" Type="http://schemas.openxmlformats.org/officeDocument/2006/relationships/hyperlink" Target="mailto:jmhaynes@ve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6</Pages>
  <Words>2136</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Snelling, Jordan</dc:creator>
  <cp:keywords/>
  <dc:description/>
  <cp:lastModifiedBy>Haynes, John M.</cp:lastModifiedBy>
  <cp:revision>11</cp:revision>
  <cp:lastPrinted>2021-11-23T17:48:00Z</cp:lastPrinted>
  <dcterms:created xsi:type="dcterms:W3CDTF">2021-10-26T18:13:00Z</dcterms:created>
  <dcterms:modified xsi:type="dcterms:W3CDTF">2021-12-10T19:55:00Z</dcterms:modified>
</cp:coreProperties>
</file>